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865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86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07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Chen Kerry Xuefeng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ATRenew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RERE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07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4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12TH FLOOR, NO. 6 BUILDING 433 SONGHU ROAD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SHANGHAI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200433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07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Amount of Securities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3. Ownership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C ordinary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11,287,336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C&amp;XF Group 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711,418</w:t>
            </w:r>
          </w:p>
        </w:tc>
        <w:tc>
          <w:tcPr>
            <w:tcW w:w="9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9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01/01/2027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407,200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0.1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(4)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07/01/2028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19,844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0.1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(5)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01/01/2029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15,314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0.1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(6)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01/01/2029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75,931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0.1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(7)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09/01/2026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26,521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0.1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(8)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10/04/2026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4,793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0.1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(9)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07/31/2029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70,650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0.1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(10)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01/01/2031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64,291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0.1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01/01/2031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1,725,746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0.1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share units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04/13/2021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04/13/2031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2,964,091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40"/>
          </w:cols>
          <w:pgMar w:left="480" w:top="230" w:right="479" w:bottom="10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292100</wp:posOffset>
            </wp:positionH>
            <wp:positionV relativeFrom="page">
              <wp:posOffset>88900</wp:posOffset>
            </wp:positionV>
            <wp:extent cx="6972300" cy="2823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(12)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01/01/2032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179,030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03/13/2024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03/13/2033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1,378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04/01/2024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04/01/2033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7,276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07/01/2035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53,333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55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Shares held of record by C&amp;XF Group Limited, which is wholly owned by the reporting person.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180" w:hanging="155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Every three American depositary shares ("ADS") represent two Class A ordinary shares, par value US$0.001 per share.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100" w:firstLine="5"/>
        <w:spacing w:after="0" w:line="259" w:lineRule="auto"/>
        <w:tabs>
          <w:tab w:leader="none" w:pos="17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to purchase 407,200 Class A ordinary shares granted on January 1, 2017. The options vest in equal installments of 1/4 of the options on the January 1 of each year thereafter over the next 4 years, subject to the reporting person's continued service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320" w:firstLine="5"/>
        <w:spacing w:after="0" w:line="259" w:lineRule="auto"/>
        <w:tabs>
          <w:tab w:leader="none" w:pos="17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to purchase 19,844 Class A ordinary shares granted on July 1, 2018. The options vest in equal installments of 1/4 of the options on the July 1 of each year thereafter over the next 4 years, subject to the reporting person's continued service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180" w:firstLine="5"/>
        <w:spacing w:after="0" w:line="259" w:lineRule="auto"/>
        <w:tabs>
          <w:tab w:leader="none" w:pos="17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to purchase 15,314 Class A ordinary shares granted on January 1, 2019. The options vest in equal installments of 1/4 of the options on the January 1 of each year thereafter over the next 4 years, subject to the reporting person's continued service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180" w:firstLine="5"/>
        <w:spacing w:after="0" w:line="259" w:lineRule="auto"/>
        <w:tabs>
          <w:tab w:leader="none" w:pos="17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to purchase 75,931 Class A ordinary shares granted on January 1, 2019. The options vest in equal installments of 1/4 of the options on the January 1 of each year thereafter over the next 4 years, subject to the reporting person's continued service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140" w:firstLine="5"/>
        <w:spacing w:after="0" w:line="259" w:lineRule="auto"/>
        <w:tabs>
          <w:tab w:leader="none" w:pos="17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to purchase 26,521 Class A ordinary shares granted on September 1, 2016. The options vest in equal installments of 1/4 of the options on the September 1 of each year thereafter over the next 4 years, subject to the reporting person's continued service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220" w:firstLine="5"/>
        <w:spacing w:after="0" w:line="259" w:lineRule="auto"/>
        <w:tabs>
          <w:tab w:leader="none" w:pos="17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to purchase 4,793 Class A ordinary shares granted on October 4, 2016. The options vest in equal installments of 1/4 of the options on the October 4 of each year thereafter over the next 4 years, subject to the reporting person's continued service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160" w:firstLine="5"/>
        <w:spacing w:after="0" w:line="259" w:lineRule="auto"/>
        <w:tabs>
          <w:tab w:leader="none" w:pos="17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to purchase 70,650 Class A ordinary shares granted on July 31, 2019. The options vest in equal installments of 1/4 of the options on the July 31 of each year thereafter over the next 4 years, subject to the reporting person's continued service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100" w:firstLine="5"/>
        <w:spacing w:after="0" w:line="259" w:lineRule="auto"/>
        <w:tabs>
          <w:tab w:leader="none" w:pos="24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to purchase 64,291 Class A ordinary shares granted on January 1, 2021. The options vest in equal installments of 1/4 of the options on the January 1 of each year thereafter over the next 4 years, subject to the reporting person's continued service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240" w:firstLine="5"/>
        <w:spacing w:after="0" w:line="259" w:lineRule="auto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to purchase 1,725,746 Class A ordinary shares granted on January 1, 2021. The options vest in equal installments of 1/4 of the options on the January 1 of each year thereafter over the next 4 years, subject to the reporting person's continued service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20" w:firstLine="5"/>
        <w:spacing w:after="0" w:line="259" w:lineRule="auto"/>
        <w:tabs>
          <w:tab w:leader="none" w:pos="24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to purchase 179,030 Class A ordinary shares granted on January 1, 2022. The options vest in equal installments of 1/4 of the options on the January 1 of each year thereafter over the next 4 years, subject to the reporting person's continued service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60" w:hanging="235"/>
        <w:spacing w:after="0"/>
        <w:tabs>
          <w:tab w:leader="none" w:pos="2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restricted share unit represents the contingent right to receive one (1) Class A ordinary shares of the Issuer upon vesting.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Chen Xuefeng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20" w:right="2220" w:firstLine="5"/>
        <w:spacing w:after="0" w:line="335" w:lineRule="auto"/>
        <w:tabs>
          <w:tab w:leader="none" w:pos="17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 w:right="6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0"/>
      </w:cols>
      <w:pgMar w:left="500" w:top="198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1905191" TargetMode="External"/><Relationship Id="rId11" Type="http://schemas.openxmlformats.org/officeDocument/2006/relationships/hyperlink" Target="http://www.sec.gov/cgi-bin/browse-edgar?action=getcompany&amp;CIK=00018389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2026-03-18T07:12:56Z</dcterms:created>
  <dcterms:modified xsi:type="dcterms:W3CDTF">2026-03-18T07:12:56Z</dcterms:modified>
</cp:coreProperties>
</file>