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2"/>
        </w:rPr>
      </w:pPr>
      <w:bookmarkStart w:id="0" w:name="rere-6k-2026y-q2.htm"/>
      <w:bookmarkStart w:id="1" w:name="ksrere6k2026yq2"/>
      <w:bookmarkEnd w:id="0"/>
      <w:bookmarkEnd w:id="1"/>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 the month of August 2026</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001-40486</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ATRenew Inc.</w:t>
      </w:r>
    </w:p>
    <w:p>
      <w:pPr>
        <w:pStyle w:val="TextBody"/>
        <w:bidi w:val="0"/>
        <w:jc w:val="center"/>
        <w:rPr>
          <w:rFonts w:ascii="Times New Roman" w:hAnsi="Times New Roman"/>
          <w:color w:val="000000"/>
          <w:sz w:val="20"/>
        </w:rPr>
      </w:pPr>
      <w:r>
        <w:rPr>
          <w:rFonts w:ascii="Times New Roman" w:hAnsi="Times New Roman"/>
          <w:color w:val="000000"/>
          <w:sz w:val="20"/>
        </w:rPr>
        <w:t>(Registrant’s Name)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12th Floor, No. 6 Building</w:t>
        <w:br/>
        <w:t>433 Songhu Road, Shanghai</w:t>
        <w:br/>
        <w:t>People’s Republic of China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Form 20-F or Form 40-F.</w:t>
      </w:r>
    </w:p>
    <w:p>
      <w:pPr>
        <w:pStyle w:val="TextBody"/>
        <w:bidi w:val="0"/>
        <w:jc w:val="center"/>
        <w:rPr>
          <w:rFonts w:ascii="Times New Roman" w:hAnsi="Times New Roman"/>
          <w:sz w:val="20"/>
        </w:rPr>
      </w:pPr>
      <w:r>
        <w:rPr>
          <w:rFonts w:ascii="Times New Roman" w:hAnsi="Times New Roman"/>
          <w:color w:val="000000"/>
          <w:sz w:val="24"/>
        </w:rPr>
        <w:t xml:space="preserve">Form 20-F </w:t>
      </w:r>
      <w:r>
        <w:rPr>
          <w:rFonts w:ascii="Times New Roman" w:hAnsi="Times New Roman"/>
          <w:color w:val="000000"/>
          <w:sz w:val="20"/>
        </w:rPr>
        <w:t xml:space="preserve"> </w:t>
      </w:r>
      <w:r>
        <w:rPr>
          <w:rFonts w:ascii="Times New Roman" w:hAnsi="Times New Roman"/>
          <w:color w:val="000000"/>
          <w:sz w:val="24"/>
        </w:rPr>
        <w:t xml:space="preserve">Form 40-F </w:t>
      </w:r>
      <w:r>
        <w:rPr>
          <w:rFonts w:ascii="Times New Roman" w:hAnsi="Times New Roman"/>
          <w:color w:val="000000"/>
          <w:sz w:val="20"/>
        </w:rPr>
        <w:t></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INDEX</w:t>
      </w:r>
    </w:p>
    <w:p>
      <w:pPr>
        <w:pStyle w:val="TextBody"/>
        <w:bidi w:val="0"/>
        <w:jc w:val="center"/>
        <w:rPr/>
      </w:pPr>
      <w:r>
        <w:rPr/>
        <w:t> </w:t>
      </w:r>
    </w:p>
    <w:tbl>
      <w:tblPr>
        <w:tblW w:w="7828" w:type="dxa"/>
        <w:jc w:val="left"/>
        <w:tblInd w:w="0" w:type="dxa"/>
        <w:tblLayout w:type="fixed"/>
        <w:tblCellMar>
          <w:top w:w="28" w:type="dxa"/>
          <w:left w:w="28" w:type="dxa"/>
          <w:bottom w:w="28" w:type="dxa"/>
          <w:right w:w="28" w:type="dxa"/>
        </w:tblCellMar>
      </w:tblPr>
      <w:tblGrid>
        <w:gridCol w:w="1291"/>
        <w:gridCol w:w="146"/>
        <w:gridCol w:w="639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1" w:type="dxa"/>
            <w:tcBorders/>
            <w:vAlign w:val="center"/>
          </w:tcPr>
          <w:p>
            <w:pPr>
              <w:pStyle w:val="TableContents"/>
              <w:bidi w:val="0"/>
              <w:spacing w:before="0" w:after="283"/>
              <w:jc w:val="left"/>
              <w:rPr>
                <w:sz w:val="4"/>
                <w:szCs w:val="4"/>
              </w:rPr>
            </w:pPr>
            <w:r>
              <w:rPr>
                <w:sz w:val="4"/>
                <w:szCs w:val="4"/>
              </w:rPr>
            </w:r>
          </w:p>
        </w:tc>
      </w:tr>
      <w:tr>
        <w:trPr/>
        <w:tc>
          <w:tcPr>
            <w:tcW w:w="129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Exhibit No.</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639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Description</w:t>
            </w:r>
          </w:p>
        </w:tc>
      </w:tr>
      <w:tr>
        <w:trPr/>
        <w:tc>
          <w:tcPr>
            <w:tcW w:w="1291" w:type="dxa"/>
            <w:tcBorders/>
            <w:tcMar>
              <w:top w:w="0" w:type="dxa"/>
              <w:left w:w="0" w:type="dxa"/>
              <w:bottom w:w="0" w:type="dxa"/>
              <w:right w:w="0" w:type="dxa"/>
            </w:tcMar>
            <w:vAlign w:val="center"/>
          </w:tcPr>
          <w:p>
            <w:pPr>
              <w:pStyle w:val="TableContents"/>
              <w:bidi w:val="0"/>
              <w:spacing w:before="0" w:after="283"/>
              <w:jc w:val="center"/>
              <w:rPr/>
            </w:pPr>
            <w:hyperlink w:anchor="rere-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tcMar>
              <w:top w:w="0" w:type="dxa"/>
              <w:left w:w="0" w:type="dxa"/>
              <w:bottom w:w="0" w:type="dxa"/>
              <w:right w:w="0" w:type="dxa"/>
            </w:tcMar>
            <w:vAlign w:val="center"/>
          </w:tcPr>
          <w:p>
            <w:pPr>
              <w:pStyle w:val="TableContents"/>
              <w:bidi w:val="0"/>
              <w:spacing w:before="0" w:after="283"/>
              <w:jc w:val="left"/>
              <w:rPr/>
            </w:pPr>
            <w:hyperlink w:anchor="rere-ex99_1.htm">
              <w:r>
                <w:rPr>
                  <w:rStyle w:val="InternetLink"/>
                  <w:rFonts w:ascii="Times New Roman" w:hAnsi="Times New Roman"/>
                  <w:color w:val="0000FF"/>
                  <w:sz w:val="21"/>
                  <w:u w:val="single"/>
                </w:rPr>
                <w:t>ATRenew Inc. Reports Unaudited Second Quarter 2026 Financial Results</w:t>
              </w:r>
            </w:hyperlink>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ATRenew Inc.</w:t>
      </w:r>
    </w:p>
    <w:p>
      <w:pPr>
        <w:pStyle w:val="TextBody"/>
        <w:bidi w:val="0"/>
        <w:jc w:val="left"/>
        <w:rPr/>
      </w:pPr>
      <w:r>
        <w:rPr/>
        <w:t> </w:t>
      </w:r>
    </w:p>
    <w:tbl>
      <w:tblPr>
        <w:tblW w:w="3092" w:type="dxa"/>
        <w:jc w:val="left"/>
        <w:tblInd w:w="0" w:type="dxa"/>
        <w:tblLayout w:type="fixed"/>
        <w:tblCellMar>
          <w:top w:w="28" w:type="dxa"/>
          <w:left w:w="28" w:type="dxa"/>
          <w:bottom w:w="28" w:type="dxa"/>
          <w:right w:w="28" w:type="dxa"/>
        </w:tblCellMar>
      </w:tblPr>
      <w:tblGrid>
        <w:gridCol w:w="751"/>
        <w:gridCol w:w="2341"/>
      </w:tblGrid>
      <w:tr>
        <w:trPr/>
        <w:tc>
          <w:tcPr>
            <w:tcW w:w="75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34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4"/>
              </w:rPr>
            </w:pPr>
            <w:r>
              <w:rPr>
                <w:rFonts w:ascii="Times New Roman" w:hAnsi="Times New Roman"/>
                <w:color w:val="000000"/>
                <w:sz w:val="24"/>
              </w:rPr>
              <w:t>/s/ Chen Chen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Chen Chen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August 20,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ere-ex99_1.htm"/>
      <w:bookmarkStart w:id="3" w:name="ksrereex99_1"/>
      <w:bookmarkEnd w:id="2"/>
      <w:bookmarkEnd w:id="3"/>
      <w:r>
        <w:rPr/>
        <w:t> </w:t>
      </w:r>
      <w:r>
        <w:br w:type="page"/>
      </w:r>
    </w:p>
    <w:p>
      <w:pPr>
        <w:pStyle w:val="Heading1"/>
        <w:bidi w:val="0"/>
        <w:jc w:val="right"/>
        <w:rPr>
          <w:rFonts w:ascii="Times New Roman" w:hAnsi="Times New Roman"/>
          <w:color w:val="000000"/>
          <w:sz w:val="20"/>
        </w:rPr>
      </w:pPr>
      <w:r>
        <w:rPr>
          <w:rFonts w:ascii="Times New Roman" w:hAnsi="Times New Roman"/>
          <w:color w:val="000000"/>
          <w:sz w:val="20"/>
        </w:rPr>
        <w:t>Exhibit 99.1</w:t>
      </w:r>
    </w:p>
    <w:p>
      <w:pPr>
        <w:pStyle w:val="Heading1"/>
        <w:bidi w:val="0"/>
        <w:jc w:val="right"/>
        <w:rPr/>
      </w:pPr>
      <w:r>
        <w:rPr/>
        <w:t> </w:t>
      </w:r>
    </w:p>
    <w:p>
      <w:pPr>
        <w:pStyle w:val="Heading1"/>
        <w:bidi w:val="0"/>
        <w:jc w:val="center"/>
        <w:rPr>
          <w:rFonts w:ascii="Times New Roman" w:hAnsi="Times New Roman"/>
          <w:color w:val="DD5900"/>
          <w:sz w:val="32"/>
        </w:rPr>
      </w:pPr>
      <w:r>
        <w:rPr>
          <w:rFonts w:ascii="Times New Roman" w:hAnsi="Times New Roman"/>
          <w:color w:val="DD5900"/>
          <w:sz w:val="32"/>
        </w:rPr>
        <w:t>ATRenew Inc. Reports Unaudited Second Quarter 2026 Financial Results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SHANGHAI, Aug. 20, 2026 /PRNewswire/ -- ATRenew Inc. ("ATRenew" or the "Company") (NYSE: RERE), a pioneer in technology-driven recycling and trade-in solutions for consumer products in China, today announced its unaudited financial results for the three months ended June 30, 2026. </w:t>
      </w:r>
    </w:p>
    <w:p>
      <w:pPr>
        <w:pStyle w:val="TextBody"/>
        <w:bidi w:val="0"/>
        <w:jc w:val="both"/>
        <w:rPr/>
      </w:pPr>
      <w:r>
        <w:rPr/>
        <w:t> </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Second Quarter 2026 Highlights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Times New Roman" w:hAnsi="Times New Roman"/>
          <w:b/>
          <w:color w:val="000000"/>
          <w:sz w:val="20"/>
        </w:rPr>
        <w:t>Total net revenues</w:t>
      </w:r>
      <w:r>
        <w:rPr>
          <w:color w:val="000000"/>
        </w:rPr>
        <w:t xml:space="preserve"> </w:t>
      </w:r>
      <w:r>
        <w:rPr>
          <w:rFonts w:ascii="Times New Roman" w:hAnsi="Times New Roman"/>
          <w:color w:val="000000"/>
          <w:sz w:val="20"/>
        </w:rPr>
        <w:t>grew by 32.4% to RMB6,609.3 million (US$974.1 million) from RMB4,991.5 million in the same period of 2025.</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Times New Roman" w:hAnsi="Times New Roman"/>
          <w:b/>
          <w:color w:val="000000"/>
          <w:sz w:val="20"/>
        </w:rPr>
        <w:t xml:space="preserve">Income from operations </w:t>
      </w:r>
      <w:r>
        <w:rPr>
          <w:rFonts w:ascii="Times New Roman" w:hAnsi="Times New Roman"/>
          <w:color w:val="000000"/>
          <w:sz w:val="20"/>
        </w:rPr>
        <w:t xml:space="preserve">increased by 95.7% to RMB178.3 million (US$26.3 million) from RMB91.1 million in the same period of 2025. </w:t>
      </w:r>
      <w:r>
        <w:rPr>
          <w:rFonts w:ascii="Times New Roman" w:hAnsi="Times New Roman"/>
          <w:b/>
          <w:color w:val="000000"/>
          <w:sz w:val="20"/>
        </w:rPr>
        <w:t>Adjusted income from operations (non-GAAP)</w:t>
      </w:r>
      <w:r>
        <w:rPr>
          <w:rFonts w:ascii="Times New Roman" w:hAnsi="Times New Roman"/>
          <w:b/>
          <w:color w:val="000000"/>
          <w:sz w:val="13"/>
        </w:rPr>
        <w:t>1</w:t>
      </w:r>
      <w:r>
        <w:rPr>
          <w:color w:val="000000"/>
        </w:rPr>
        <w:t xml:space="preserve"> </w:t>
      </w:r>
      <w:r>
        <w:rPr>
          <w:rFonts w:ascii="Times New Roman" w:hAnsi="Times New Roman"/>
          <w:color w:val="000000"/>
          <w:sz w:val="20"/>
        </w:rPr>
        <w:t>grew by 70.1% to RMB206.3 million (US$30.4 million) from RMB121.3 million in the same period of 2025.</w:t>
      </w:r>
    </w:p>
    <w:p>
      <w:pPr>
        <w:pStyle w:val="TextBody"/>
        <w:bidi w:val="0"/>
        <w:spacing w:before="0" w:after="160"/>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both"/>
        <w:rPr/>
      </w:pPr>
      <w:r>
        <w:rPr>
          <w:rFonts w:ascii="Times New Roman" w:hAnsi="Times New Roman"/>
          <w:b/>
          <w:color w:val="000000"/>
          <w:sz w:val="20"/>
        </w:rPr>
        <w:t xml:space="preserve">Net income </w:t>
      </w:r>
      <w:r>
        <w:rPr>
          <w:rFonts w:ascii="Times New Roman" w:hAnsi="Times New Roman"/>
          <w:color w:val="000000"/>
          <w:sz w:val="20"/>
        </w:rPr>
        <w:t xml:space="preserve">increased by 78.6% to RMB129.1 million (US$19.0 million) from RMB72.3 million in the same period of 2025. </w:t>
      </w:r>
      <w:r>
        <w:rPr>
          <w:rFonts w:ascii="Times New Roman" w:hAnsi="Times New Roman"/>
          <w:b/>
          <w:color w:val="000000"/>
          <w:sz w:val="20"/>
        </w:rPr>
        <w:t>Adjusted net income (non-GAAP)</w:t>
      </w:r>
      <w:r>
        <w:rPr>
          <w:rFonts w:ascii="Times New Roman" w:hAnsi="Times New Roman"/>
          <w:b/>
          <w:color w:val="000000"/>
          <w:sz w:val="13"/>
        </w:rPr>
        <w:t>1</w:t>
      </w:r>
      <w:r>
        <w:rPr>
          <w:color w:val="000000"/>
        </w:rPr>
        <w:t xml:space="preserve"> </w:t>
      </w:r>
      <w:r>
        <w:rPr>
          <w:rFonts w:ascii="Times New Roman" w:hAnsi="Times New Roman"/>
          <w:color w:val="000000"/>
          <w:sz w:val="20"/>
        </w:rPr>
        <w:t>grew by 57.3% to RMB157.1 million (US$23.1 million) from RMB99.9 million in the same period of 2025.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color w:val="000000"/>
        </w:rPr>
      </w:pPr>
      <w:r>
        <w:rPr>
          <w:color w:val="000000"/>
        </w:rPr>
        <w:t>•</w:t>
      </w:r>
    </w:p>
    <w:p>
      <w:pPr>
        <w:pStyle w:val="TextBody"/>
        <w:bidi w:val="0"/>
        <w:spacing w:before="0" w:after="160"/>
        <w:jc w:val="both"/>
        <w:rPr/>
      </w:pPr>
      <w:r>
        <w:rPr>
          <w:rFonts w:ascii="Times New Roman" w:hAnsi="Times New Roman"/>
          <w:b/>
          <w:color w:val="000000"/>
          <w:sz w:val="20"/>
        </w:rPr>
        <w:t>Number of consumer products transacted</w:t>
      </w:r>
      <w:r>
        <w:rPr>
          <w:rFonts w:ascii="Times New Roman" w:hAnsi="Times New Roman"/>
          <w:b/>
          <w:color w:val="000000"/>
          <w:sz w:val="13"/>
        </w:rPr>
        <w:t xml:space="preserve">2 </w:t>
      </w:r>
      <w:r>
        <w:rPr>
          <w:rFonts w:ascii="Times New Roman" w:hAnsi="Times New Roman"/>
          <w:color w:val="000000"/>
          <w:sz w:val="20"/>
        </w:rPr>
        <w:t>was 11.6 million compared to 10.3 million in the same period of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Mr. Kerry Xuefeng Chen, Founder, Chairman, and Chief Executive Officer of ATRenew, commented, “We are pleased to report another strong quarter for ATRenew. In the second quarter of 2026, total net revenues increased by 32.4% year-on-year to RMB6,609.3 million. This was achieved by leveraging our industry-leading supply chain value via a 1P business model. On the recycling side, we prioritized providing users with the best-in-class recycling and trade-in experience. On the processing side, we increased the proportion of compliant refurbished products, ensuring sufficient supply of value-for-money high-quality second-hand devices for both consumers and small and medium-sized businesses. Simultaneously, we expanded the distribution of quality-preowned products to serve diverse global markets, creating greater value for the global circulation of second-hand electronic products.” </w:t>
      </w:r>
    </w:p>
    <w:p>
      <w:pPr>
        <w:pStyle w:val="TextBody"/>
        <w:bidi w:val="0"/>
        <w:jc w:val="left"/>
        <w:rPr/>
      </w:pPr>
      <w:r>
        <w:rPr/>
        <w:t> </w:t>
      </w:r>
    </w:p>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For all measures labeled as “non-GAAP” on this page and following pages, please see “Unaudited Reconciliations of GAAP and Non-GAAP Results” for more information.</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 xml:space="preserve">“Number of consumer products transacted” represents the number of consumer products distributed to merchants and consumers through transactions on the Company’s PJT Marketplace, Paipai Marketplace and other channels the Company operates in a given period, prior to returns and cancellations, excluding the number of consumer products collected through AHS Recycle; a single consumer product may be counted more than once according to the number of times it is transacted on PJT Marketplace, Paipai Marketplace and other channels the Company operates through the distribution process to end consumer.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Rex Chen, Chief Financial Officer of ATRenew, added, “While exceeding the high end of our revenue guidance, ATRenew once again achieved rapid profit growth. In the second quarter of 2026, adjusted income from operations grew by 70.1% year-on-year to RMB206.3 million. During this process, we focused on upgrading the capabilities and quality of AHS stores, strengthening door-to-door fulfillment capabilities on the recycling side, and optimizing the sales channels for our 1P products. Similarly, combining the characteristics of the second-hand industry, we prudently invested in brand marketing and adopted refined cost management in the middle and back offices, achieving continuous optimization of operating profit and maintaining our goal of creating long-term value for shareholders.” </w:t>
      </w:r>
    </w:p>
    <w:p>
      <w:pPr>
        <w:pStyle w:val="TextBody"/>
        <w:bidi w:val="0"/>
        <w:spacing w:before="0" w:after="160"/>
        <w:jc w:val="both"/>
        <w:rPr/>
      </w:pPr>
      <w:r>
        <w:rPr/>
        <w:t> </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Second Quarter 2026 Financial Results</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Total net revenues increased by 32.4% to RMB6,609.3 million (US$974.1 million) from RMB4,991.5 million in the same period of 2025.</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Net product revenues increased by 35.9% to RMB6,194.7 million (US$913.0 million) from RMB4,558.7 million in the same period of 2025. The increase was primarily attributable to an increase in the sales of pre-owned consumer electronics through the Company’s online channels.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Net service revenues decreased by 4.2% to RMB414.6 million (US$61.1 million), compared to RMB432.8 million in the same period of 2025. This decrease was primarily due to the discretionary discounts on service fees provided to merchants during the extended 618 grand promotion event period.</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OPERATING COSTS AND EXPENSES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Operating costs and expenses were RMB6,442.3 million (US$949.5 million), compared to RMB4,918.1 million in the same period of 2025, representing an increase of 31.0%.</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Merchandise costs were RMB5,219.2 million (US$769.2 million), compared to RMB3,957.6 million in the same period of 2025, representing an increase of 31.9%. The increase was primarily due to the growth in product sales.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Fulfillment expenses were RMB542.3 million (US$79.9 million), compared to RMB413.6 million in the same period of 2025, representing an increase of 31.1%. The increase was primarily due to (i) an increase in personnel costs driven by the growth of our business, (ii) an increase in logistics expense due to the growth in product sales, and (iii) an increase in operating center related expenses as the Company conducted more recycling and transaction activities compared with the same period of 2025.</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Selling and marketing expenses were RMB507.9 million (US$74.9 million), compared to RMB406.9 million in the same period of 2025, representing an increase of 24.8%. The increase was primarily due to an increase in commission expenses in relation to channel service fees, partially offset by a decrease in amortization of intangible assets resulting from assets and business acquisitions, due to the maturity of major remaining intangible assets in the second quarter of 2025.</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General and administrative expenses were RMB95.7 million (US$14.1 million), compared to RMB77.5 million in the same period of 2025, representing an increase of 23.5%. The increase was primarily due to an increase in personnel costs, sales tax and associated charges, and share-based compensation expenses, partially offset by a decrease in expected credit loss relating to credit risk.</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Research and development expenses were RMB77.2 million (US$11.4 million), compared to RMB62.5 million in the same period of 2025, representing an increase of 23.5%. The increase was primarily due to an increase in personnel costs.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INCOME FROM OPERATIONS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Income from operations was RMB178.3 million (US$26.3 million), representing an increase of 95.7% from RMB91.1 million in the same period of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Adjusted income from operations (non-GAAP) was RMB206.3 million (US$30.4 million), representing an increase of 70.1% from RMB121.3 million in the same period of 2025.</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NET INCOME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Net income was RMB129.1 million (US$19.0 million), representing an increase of 78.6% from RMB72.3 million in the same period of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Adjusted net income (non-GAAP) was RMB157.1 million (US$23.1 million), representing an increase of 57.3% from RMB99.9 million in the same period of 2025.</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BASIC AND DILUTED NET INCOME PER ORDINARY SHARE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Basic and diluted net income per ordinary share were RMB0.80 (US$0.12) and RMB0.80 (US$0.12), compared to RMB0.45 and RMB0.44 in the same period of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Adjusted basic and diluted net income per ordinary share (non-GAAP) were RMB0.97 (US$0.14) and RMB0.97 (US$0.14), compared to RMB0.62 and RMB0.61 in the same period of 2025.</w:t>
      </w:r>
    </w:p>
    <w:p>
      <w:pPr>
        <w:pStyle w:val="TextBody"/>
        <w:bidi w:val="0"/>
        <w:spacing w:before="0" w:after="160"/>
        <w:jc w:val="both"/>
        <w:rPr>
          <w:rFonts w:ascii="Times New Roman" w:hAnsi="Times New Roman"/>
          <w:sz w:val="20"/>
        </w:rPr>
      </w:pPr>
      <w:r>
        <w:rPr>
          <w:rFonts w:ascii="Times New Roman" w:hAnsi="Times New Roman"/>
          <w:b/>
          <w:i/>
          <w:color w:val="000000"/>
          <w:sz w:val="20"/>
        </w:rPr>
        <w:t>CASH AND CASH EQUIVALENTS, RESTRICTED CASH, SHORT-TERM INVESTMENTS AND FUNDS RECEIVABLE FROM THIRD PARTY PAYMENT SERVICE PROVIDERS</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Cash and cash equivalents, restricted cash, short-term investments and funds receivable from third party payment service providers were RMB2,157.2 million (US$317.9 million) as of June 30, 2026, as compared to RMB2,187.4 million as of December 31, 2025.</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 xml:space="preserve">Business Outlook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For the third quarter of 2026, the Company currently expects its total revenues to be between RMB6,340.0 million and RMB6,440.0 million, representing an increase of 23.1% to 25.1% year-over-year. This forecast only reflects the Company's current and preliminary views on the market and operational conditions, which are subject to change.</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Recent Developments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June 30, 2025, the board of directors of the Company (the “Board”) authorized a new share repurchase program, under which the Company may repurchase up to US$50 million of its shares (including ADSs) over a 12-month period starting from June 30, 2025. During the second quarter of 2026, the Company repurchased a total of approximately 1.0 million ADSs for approximately US$4.2 million. As of June 30, 2026, the Company had cumulatively repurchased a total of approximately 3.3 million ADSs for approximately US$14.8 million, with approximately US$35.2 million remaining available for repurchases under the share repurchase program. On May 19, 2026, the Board authorized an extension of the existing share repurchase program for an additional 12-month period commencing from June 30, 2026, with other key terms remaining unchanged.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On June 30, 2026, ATRenew published its 2025 Environmental, Social and Governance Report (the “ESG Report”), highlighting multiple improvements. ATRenew advanced climate risk management and emissions reduction. With reference to the IFRS S2 framework, the Company comprehensively identified climate-related risks and opportunities and quantitatively assessed their specific impacts on financial performance. The Company also actively advanced carbon emissions reduction: compared to 2024, the Company reduced its Scope 1 and Scope 2 emissions intensity by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9.5% in 2025, demonstrating steady progress toward its 2030 target of a 35% reduction in Scope 1 and Scope 2 emission intensity from a 2024 baseline. On strengthened business ethics, the Company conducted integrity training sessions, reaching 15,124 participants. Signing rates reached 100% for employee integrity, self-discipline and confidentiality, Leadership Accountability Statements, and the Anti-Commercial Bribery Agreement among franchisees. In addition, 2,178 suppliers signed the Anti-Commercial Bribery Agreement, embedding integrity standards across the workforce and supply chain.</w:t>
      </w:r>
    </w:p>
    <w:p>
      <w:pPr>
        <w:pStyle w:val="TextBody"/>
        <w:bidi w:val="0"/>
        <w:jc w:val="left"/>
        <w:rPr/>
      </w:pPr>
      <w:r>
        <w:rPr/>
        <w:t> </w:t>
      </w:r>
    </w:p>
    <w:p>
      <w:pPr>
        <w:pStyle w:val="TextBody"/>
        <w:bidi w:val="0"/>
        <w:jc w:val="left"/>
        <w:rPr/>
      </w:pPr>
      <w:r>
        <w:rPr/>
        <w:t> </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Conference Call Information</w:t>
      </w:r>
    </w:p>
    <w:p>
      <w:pPr>
        <w:pStyle w:val="Heading2"/>
        <w:bidi w:val="0"/>
        <w:jc w:val="both"/>
        <w:rPr>
          <w:rFonts w:ascii="Times New Roman" w:hAnsi="Times New Roman"/>
          <w:sz w:val="20"/>
        </w:rPr>
      </w:pPr>
      <w:r>
        <w:rPr>
          <w:rFonts w:ascii="Times New Roman" w:hAnsi="Times New Roman"/>
          <w:b w:val="false"/>
          <w:color w:val="000000"/>
          <w:sz w:val="20"/>
        </w:rPr>
        <w:t>The Company’s management will hold a conference call on Thursday, August 20, 2026 at 08:00 A.M. Eastern Time (or 08:00 P.M. Beijing Time on the same day) to discuss the financial results. Listeners may access the call by dialing the following numbers:</w:t>
      </w:r>
      <w:r>
        <w:rPr>
          <w:rFonts w:ascii="Times New Roman" w:hAnsi="Times New Roman"/>
          <w:color w:val="000000"/>
          <w:sz w:val="20"/>
        </w:rPr>
        <w:t xml:space="preserve"> </w:t>
      </w:r>
    </w:p>
    <w:p>
      <w:pPr>
        <w:pStyle w:val="TextBody"/>
        <w:bidi w:val="0"/>
        <w:jc w:val="left"/>
        <w:rPr/>
      </w:pPr>
      <w:r>
        <w:rPr/>
        <w:t> </w:t>
      </w:r>
    </w:p>
    <w:tbl>
      <w:tblPr>
        <w:tblW w:w="3928" w:type="dxa"/>
        <w:jc w:val="left"/>
        <w:tblInd w:w="0" w:type="dxa"/>
        <w:tblLayout w:type="fixed"/>
        <w:tblCellMar>
          <w:top w:w="28" w:type="dxa"/>
          <w:left w:w="28" w:type="dxa"/>
          <w:bottom w:w="28" w:type="dxa"/>
          <w:right w:w="28" w:type="dxa"/>
        </w:tblCellMar>
      </w:tblPr>
      <w:tblGrid>
        <w:gridCol w:w="2296"/>
        <w:gridCol w:w="146"/>
        <w:gridCol w:w="14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1-412-317-6061</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Toll Free: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1-888-317-6003</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Mainland China Toll Free: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4001-206115</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 Toll Free: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800-963976</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Access Code: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4033621</w:t>
            </w:r>
          </w:p>
        </w:tc>
      </w:tr>
    </w:tbl>
    <w:p>
      <w:pPr>
        <w:pStyle w:val="TextBody"/>
        <w:bidi w:val="0"/>
        <w:jc w:val="left"/>
        <w:rPr/>
      </w:pPr>
      <w:r>
        <w:rPr/>
        <w:t> </w:t>
      </w:r>
    </w:p>
    <w:p>
      <w:pPr>
        <w:pStyle w:val="Heading2"/>
        <w:bidi w:val="0"/>
        <w:jc w:val="both"/>
        <w:rPr>
          <w:rFonts w:ascii="Times New Roman" w:hAnsi="Times New Roman"/>
          <w:b w:val="false"/>
          <w:color w:val="000000"/>
          <w:sz w:val="20"/>
        </w:rPr>
      </w:pPr>
      <w:r>
        <w:rPr>
          <w:rFonts w:ascii="Times New Roman" w:hAnsi="Times New Roman"/>
          <w:b w:val="false"/>
          <w:color w:val="000000"/>
          <w:sz w:val="20"/>
        </w:rPr>
        <w:t>The replay will be accessible through August 27, 2026 by dialing the following numbers:</w:t>
      </w:r>
    </w:p>
    <w:p>
      <w:pPr>
        <w:pStyle w:val="TextBody"/>
        <w:bidi w:val="0"/>
        <w:jc w:val="left"/>
        <w:rPr/>
      </w:pPr>
      <w:r>
        <w:rPr/>
        <w:t> </w:t>
      </w:r>
    </w:p>
    <w:tbl>
      <w:tblPr>
        <w:tblW w:w="3673" w:type="dxa"/>
        <w:jc w:val="left"/>
        <w:tblInd w:w="0" w:type="dxa"/>
        <w:tblLayout w:type="fixed"/>
        <w:tblCellMar>
          <w:top w:w="28" w:type="dxa"/>
          <w:left w:w="28" w:type="dxa"/>
          <w:bottom w:w="28" w:type="dxa"/>
          <w:right w:w="28" w:type="dxa"/>
        </w:tblCellMar>
      </w:tblPr>
      <w:tblGrid>
        <w:gridCol w:w="2041"/>
        <w:gridCol w:w="146"/>
        <w:gridCol w:w="148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1-412-317-0088</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Toll Free: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1-855-669-9658</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Access Code: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4533478</w:t>
            </w:r>
          </w:p>
        </w:tc>
      </w:tr>
    </w:tbl>
    <w:p>
      <w:pPr>
        <w:pStyle w:val="TextBody"/>
        <w:bidi w:val="0"/>
        <w:spacing w:before="0" w:after="160"/>
        <w:jc w:val="left"/>
        <w:rPr/>
      </w:pPr>
      <w:r>
        <w:rPr/>
        <w:t> </w:t>
      </w:r>
    </w:p>
    <w:p>
      <w:pPr>
        <w:pStyle w:val="Heading2"/>
        <w:bidi w:val="0"/>
        <w:spacing w:before="0" w:after="160"/>
        <w:jc w:val="both"/>
        <w:rPr>
          <w:rFonts w:ascii="Times New Roman" w:hAnsi="Times New Roman"/>
          <w:b w:val="false"/>
          <w:color w:val="000000"/>
          <w:sz w:val="20"/>
        </w:rPr>
      </w:pPr>
      <w:r>
        <w:rPr>
          <w:rFonts w:ascii="Times New Roman" w:hAnsi="Times New Roman"/>
          <w:b w:val="false"/>
          <w:color w:val="000000"/>
          <w:sz w:val="20"/>
        </w:rPr>
        <w:t>A live and archived webcast of the conference call will also be available at the Company's investor relations website at ir.atrenew.com.</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About ATRenew Inc.</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Headquartered in Shanghai, ATRenew Inc. is a pioneer in technology-driven recycling and trade-in solutions for consumer products in China. Since inception in 2011, ATRenew has been on a mission to give a second life to all idle goods, reducing the environmental impact of pre-owned consumer products by facilitating recycling, trade-ins and distribution that prolong their lifecycle. ATRenew's open platform integrates C2B, B2B, and B2C capabilities to empower its online and offline services. Powered by proprietary technologies and a scalable platform ecosystem, ATRenew enhances transaction efficiency and pricing transparency for consumers and merchants alike while advancing circular economy standards in China. ATRenew is a participant in the United Nations Global Compact, and adheres to its principles-based approach to responsible business.</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Exchange Rate Information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announcement contains translations of certain RMB amounts into U.S. dollars at specified rates solely for the convenience of the reader. Unless otherwise noted, all translations from RMB to U.S. dollars are made at a rate of RMB6.7851 to US$1.00, the exchange rate set forth in the H.10 statistical release of the Board of Governors of the Federal Reserve System as of June 30, 2026.</w:t>
      </w:r>
    </w:p>
    <w:p>
      <w:pPr>
        <w:pStyle w:val="TextBody"/>
        <w:bidi w:val="0"/>
        <w:spacing w:before="0" w:after="160"/>
        <w:jc w:val="both"/>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also uses certain non-GAAP financial measures in evaluating its business. For example, the Company uses adjusted income from operations, adjusted net income and adjusted net income per ordinary share as supplemental measures to review and assess its financial and operating performance. The presentation of these non-GAAP financial measures is not intended to be considered in isolation, or as a substitute for the financial information prepared and presented in accordance with U.S. GAAP. Adjusted income from operations is income from operations excluding the share-based compensation expenses and amortization of intangible assets resulting from assets and business acquisitions. Adjusted net income is net income excluding the share-based compensation expenses and amortization of intangible assets resulting from assets and business acquisitions and tax effects of amortization of intangible assets resulting from assets and business acquisitions. Adjusted net income per ordinary share is adjusted net income attributable to ordinary shareholders divided by weighted average number of shares used in calculating net income per ordinary share.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presents non-GAAP financial measures because they are used by the Company’s management to evaluate the Company’s financial and operating performance and formulate business plans. The Company believes that adjusted income from operations and adjusted net income help identify underlying trends in the Company’s business that could otherwise be distorted by the effect of certain expenses that are included in income from operations and net income. The Company also believes that the use of non-GAAP financial measures facilitates investors’ assessment of the Company’s operating performance. The Company believes that adjusted income from operations and adjusted net income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 making.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non-GAAP financial measures are not defined under U.S. GAAP and are not presented in accordance with U.S. GAAP. The non-GAAP financial measures have limitations as analytical tools. One of the key limitations of using non-GAAP financial measures is that they do not reflect all items of income and expense that affect the Company’s operations. The share-based compensation expenses, amortization of intangible assets resulting from assets and business acquisitions and tax effects of amortization of intangible assets resulting from assets and business acquisitions have been and may continue to be incurred in the Company’s business and is not reflected in the presentation of non-GAAP financial measures. Further, the non-GAAP measures may differ from the non-GAAP measures used by other companies, including peer companies, potentially limiting the comparability of their financial results to the Company’s. In light of the foregoing limitations, the non-GAAP financial measures for the period should not be considered in isolation from or as an alternative to income from operations, net income, and net income attributable to ordinary shareholders per share, or other financial measures prepared in accordance with U.S. GAAP.</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compensates for these limitations by reconciling the non-GAAP financial measures to the nearest U.S. GAAP performance measures, which should be considered when evaluating the Company’s performance. For reconciliations of these non-GAAP financial measures to the most directly comparable GAAP financial measures, please see the section of the accompanying tables titled, “Reconciliations of GAAP and Non-GAAP Results.”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Safe Harbor Statement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quotations in this announcement, contain forward-looking statements. ATRenew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ATRenew's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ATRenew's strategies; ATRenew's future business development, financial condition and results of operations; ATRenew's ability to maintain its relationship with major strategic investors; its ability to facilitate pre-owned consumer electronics transactions and provide relevant services; its ability to maintain and enhance the recognition and reputation of its brand; general economic and business conditions globally and in China and assumptions underlying or related to any of the foregoing. Further information regarding these and other risks is included in ATRenew's filings with the SEC. All information provided in this press release is as of the date of this press release, and ATRenew does not undertake any obligation to update any forward-looking statement, except as required under applicable law.</w:t>
      </w:r>
    </w:p>
    <w:p>
      <w:pPr>
        <w:pStyle w:val="TextBody"/>
        <w:bidi w:val="0"/>
        <w:jc w:val="left"/>
        <w:rPr/>
      </w:pPr>
      <w:r>
        <w:rPr/>
        <w:t> </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Investor Relations Contact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ATRenew Inc.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Investor Relations</w:t>
      </w:r>
    </w:p>
    <w:p>
      <w:pPr>
        <w:pStyle w:val="TextBody"/>
        <w:bidi w:val="0"/>
        <w:jc w:val="left"/>
        <w:rPr>
          <w:rFonts w:ascii="Times New Roman" w:hAnsi="Times New Roman"/>
          <w:color w:val="000000"/>
          <w:sz w:val="20"/>
        </w:rPr>
      </w:pPr>
      <w:r>
        <w:rPr>
          <w:rFonts w:ascii="Times New Roman" w:hAnsi="Times New Roman"/>
          <w:color w:val="000000"/>
          <w:sz w:val="20"/>
        </w:rPr>
        <w:t>Email: ir@atrenew.com</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Christensen Advisory</w:t>
      </w:r>
    </w:p>
    <w:p>
      <w:pPr>
        <w:pStyle w:val="TextBody"/>
        <w:bidi w:val="0"/>
        <w:jc w:val="left"/>
        <w:rPr>
          <w:rFonts w:ascii="Times New Roman" w:hAnsi="Times New Roman"/>
          <w:color w:val="000000"/>
          <w:sz w:val="20"/>
        </w:rPr>
      </w:pPr>
      <w:r>
        <w:rPr>
          <w:rFonts w:ascii="Times New Roman" w:hAnsi="Times New Roman"/>
          <w:color w:val="000000"/>
          <w:sz w:val="20"/>
        </w:rPr>
        <w:t>Email: rere@christensencomms.com</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ATRENEW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pPr>
      <w:r>
        <w:rPr/>
        <w:t> </w:t>
      </w:r>
    </w:p>
    <w:tbl>
      <w:tblPr>
        <w:tblW w:w="8281" w:type="dxa"/>
        <w:jc w:val="left"/>
        <w:tblInd w:w="0" w:type="dxa"/>
        <w:tblLayout w:type="fixed"/>
        <w:tblCellMar>
          <w:top w:w="28" w:type="dxa"/>
          <w:left w:w="28" w:type="dxa"/>
          <w:bottom w:w="28" w:type="dxa"/>
          <w:right w:w="28" w:type="dxa"/>
        </w:tblCellMar>
      </w:tblPr>
      <w:tblGrid>
        <w:gridCol w:w="4336"/>
        <w:gridCol w:w="146"/>
        <w:gridCol w:w="182"/>
        <w:gridCol w:w="1033"/>
        <w:gridCol w:w="146"/>
        <w:gridCol w:w="146"/>
        <w:gridCol w:w="146"/>
        <w:gridCol w:w="826"/>
        <w:gridCol w:w="146"/>
        <w:gridCol w:w="146"/>
        <w:gridCol w:w="146"/>
        <w:gridCol w:w="69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1,537,461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1,525,554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224,839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Amount due from related parties,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414,779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1,074,080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1,467,275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Funds receivable from third party payment service providers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Accounts 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Prepayments and other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933,959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967,725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142,623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4,741,303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5,090,004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750,172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78,088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178,936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5,965,944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6,304,100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929,108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322,855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455,851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358,228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726,062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Accrued payroll and welfare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Amount 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1,903,158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2,156,982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317,899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80,833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1,975,541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2,237,815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329,812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3,990,403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4,066,285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599,296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5,965,944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6,304,100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929,108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ATRENEW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 AND COMPREHENSIVE INCOME</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share and per share and otherwise noted)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56"/>
        <w:gridCol w:w="146"/>
        <w:gridCol w:w="146"/>
        <w:gridCol w:w="841"/>
        <w:gridCol w:w="151"/>
        <w:gridCol w:w="146"/>
        <w:gridCol w:w="146"/>
        <w:gridCol w:w="841"/>
        <w:gridCol w:w="151"/>
        <w:gridCol w:w="146"/>
        <w:gridCol w:w="146"/>
        <w:gridCol w:w="841"/>
        <w:gridCol w:w="151"/>
        <w:gridCol w:w="146"/>
        <w:gridCol w:w="146"/>
        <w:gridCol w:w="841"/>
        <w:gridCol w:w="151"/>
        <w:gridCol w:w="146"/>
        <w:gridCol w:w="146"/>
        <w:gridCol w:w="841"/>
        <w:gridCol w:w="151"/>
        <w:gridCol w:w="146"/>
        <w:gridCol w:w="146"/>
        <w:gridCol w:w="841"/>
        <w:gridCol w:w="196"/>
      </w:tblGrid>
      <w:tr>
        <w:trPr/>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4,558,695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6,194,657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912,979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8,822,374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11,924,471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1,757,450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414,633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61,109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822,536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844,933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Operating (expenses) income </w:t>
            </w:r>
            <w:r>
              <w:rPr>
                <w:rFonts w:ascii="Times New Roman" w:hAnsi="Times New Roman"/>
                <w:b/>
                <w:color w:val="000000"/>
                <w:sz w:val="9"/>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Merchandise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(3,957,556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(5,219,165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(7,573,472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(10,035,934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(1,479,114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Fulfillment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(413,628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(542,257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(841,477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(1,066,305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(157,154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Selling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(406,870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(507,938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(825,728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(1,001,811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(147,649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(77,521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(140,895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(175,571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(150,646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(22,202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178,288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163,757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363,608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53,590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before income taxes and share of loss in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172,366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344,489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 of loss in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72,336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264,226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income per ordinary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Weighted average number of shares used in calculating net income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161,486,547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161,139,453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161,139,453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160,748,983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160,487,118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160,487,118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162,572,624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161,570,852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161,570,852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161,890,426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160,546,055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160,546,055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72,336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129,132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264,226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108,395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251,427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37,057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ATRENEW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 AND COMPREHENSIVE INCOME (CONTINUED)</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6"/>
        <w:gridCol w:w="146"/>
        <w:gridCol w:w="146"/>
        <w:gridCol w:w="736"/>
        <w:gridCol w:w="166"/>
        <w:gridCol w:w="146"/>
        <w:gridCol w:w="146"/>
        <w:gridCol w:w="736"/>
        <w:gridCol w:w="166"/>
        <w:gridCol w:w="146"/>
        <w:gridCol w:w="146"/>
        <w:gridCol w:w="631"/>
        <w:gridCol w:w="166"/>
        <w:gridCol w:w="146"/>
        <w:gridCol w:w="146"/>
        <w:gridCol w:w="736"/>
        <w:gridCol w:w="166"/>
        <w:gridCol w:w="146"/>
        <w:gridCol w:w="146"/>
        <w:gridCol w:w="736"/>
        <w:gridCol w:w="166"/>
        <w:gridCol w:w="146"/>
        <w:gridCol w:w="146"/>
        <w:gridCol w:w="631"/>
        <w:gridCol w:w="21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 Includes share-based compensation expenses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Fulfillment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 Includes amortization of intangible assets resulting from assets and business acquisitions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Unaudited Reconciliations of GAAP and Non-GAAP Results</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share and per share and otherwise noted)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6"/>
        <w:gridCol w:w="146"/>
        <w:gridCol w:w="146"/>
        <w:gridCol w:w="841"/>
        <w:gridCol w:w="151"/>
        <w:gridCol w:w="146"/>
        <w:gridCol w:w="146"/>
        <w:gridCol w:w="841"/>
        <w:gridCol w:w="151"/>
        <w:gridCol w:w="146"/>
        <w:gridCol w:w="146"/>
        <w:gridCol w:w="841"/>
        <w:gridCol w:w="151"/>
        <w:gridCol w:w="146"/>
        <w:gridCol w:w="146"/>
        <w:gridCol w:w="841"/>
        <w:gridCol w:w="151"/>
        <w:gridCol w:w="146"/>
        <w:gridCol w:w="146"/>
        <w:gridCol w:w="841"/>
        <w:gridCol w:w="151"/>
        <w:gridCol w:w="146"/>
        <w:gridCol w:w="146"/>
        <w:gridCol w:w="841"/>
        <w:gridCol w:w="196"/>
      </w:tblGrid>
      <w:tr>
        <w:trPr/>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178,288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163,757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intangible assets resulting from assets and business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Adjusted income from operations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121,325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206,327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30,408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233,225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396,789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58,480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72,336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264,226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intangible assets resulting from assets and business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effects of amortization of intangible assets resulting from assets and business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Adjusted net income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99,905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157,054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23,145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177,945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297,173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43,799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Adjusted net income per ordinary share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Weighted average number of shares used in calculating net income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161,486,547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161,139,453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161,139,453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160,748,983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160,487,118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160,487,118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162,572,624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161,570,852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161,570,852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161,890,426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160,546,055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160,546,055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3677</Words>
  <Characters>21589</Characters>
  <CharactersWithSpaces>25910</CharactersWithSpaces>
  <Paragraphs>2024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