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158750</wp:posOffset>
            </wp:positionV>
            <wp:extent cx="2640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199390</wp:posOffset>
            </wp:positionV>
            <wp:extent cx="2640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3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001-40486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176530</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ATRenew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167640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12th Floor, No. 6 Building</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433 Songhu Road, Shanghai</w:t>
      </w:r>
    </w:p>
    <w:p>
      <w:pPr>
        <w:jc w:val="center"/>
        <w:ind w:right="-1100"/>
        <w:spacing w:after="0" w:line="235" w:lineRule="auto"/>
        <w:rPr>
          <w:sz w:val="20"/>
          <w:szCs w:val="20"/>
          <w:color w:val="auto"/>
        </w:rPr>
      </w:pPr>
      <w:r>
        <w:rPr>
          <w:rFonts w:ascii="Times New Roman" w:cs="Times New Roman" w:eastAsia="Times New Roman" w:hAnsi="Times New Roman"/>
          <w:sz w:val="22"/>
          <w:szCs w:val="22"/>
          <w:b w:val="1"/>
          <w:bCs w:val="1"/>
          <w:color w:val="auto"/>
        </w:rPr>
        <w:t>People’s Republic of China</w:t>
      </w: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175895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Form 20-F or Form 40-F.</w:t>
      </w:r>
    </w:p>
    <w:p>
      <w:pPr>
        <w:spacing w:after="0" w:line="245" w:lineRule="exact"/>
        <w:rPr>
          <w:sz w:val="24"/>
          <w:szCs w:val="24"/>
          <w:color w:val="auto"/>
        </w:rPr>
      </w:pPr>
    </w:p>
    <w:p>
      <w:pPr>
        <w:ind w:left="4260"/>
        <w:spacing w:after="0"/>
        <w:tabs>
          <w:tab w:leader="none" w:pos="578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2"/>
          </w:tcPr>
          <w:p>
            <w:pPr>
              <w:ind w:left="27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81"/>
        </w:trPr>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gridSpan w:val="2"/>
          </w:tcPr>
          <w:p>
            <w:pPr>
              <w:ind w:left="402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175"/>
        </w:trPr>
        <w:tc>
          <w:tcPr>
            <w:tcW w:w="1680" w:type="dxa"/>
            <w:vAlign w:val="bottom"/>
            <w:gridSpan w:val="3"/>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15"/>
                <w:szCs w:val="15"/>
                <w:color w:val="auto"/>
              </w:rPr>
            </w:pPr>
          </w:p>
        </w:tc>
        <w:tc>
          <w:tcPr>
            <w:tcW w:w="9280" w:type="dxa"/>
            <w:vAlign w:val="bottom"/>
            <w:gridSpan w:val="3"/>
          </w:tcPr>
          <w:p>
            <w:pPr>
              <w:ind w:left="80"/>
              <w:spacing w:after="0" w:line="175" w:lineRule="exact"/>
              <w:rPr>
                <w:sz w:val="20"/>
                <w:szCs w:val="20"/>
                <w:color w:val="auto"/>
              </w:rPr>
            </w:pPr>
            <w:r>
              <w:rPr>
                <w:rFonts w:ascii="Times New Roman" w:cs="Times New Roman" w:eastAsia="Times New Roman" w:hAnsi="Times New Roman"/>
                <w:sz w:val="19"/>
                <w:szCs w:val="19"/>
                <w:color w:val="0000FF"/>
              </w:rPr>
              <w:t>ATRenew Inc. Reports Unaudited First Quarter 2026 Financial Results</w:t>
            </w:r>
          </w:p>
        </w:tc>
      </w:tr>
      <w:tr>
        <w:trPr>
          <w:trHeight w:val="1891"/>
        </w:trPr>
        <w:tc>
          <w:tcPr>
            <w:tcW w:w="68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380" w:type="dxa"/>
            <w:vAlign w:val="bottom"/>
            <w:tcBorders>
              <w:top w:val="single" w:sz="8" w:color="0000FF"/>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ATRenew Inc.</w:t>
      </w:r>
    </w:p>
    <w:p>
      <w:pPr>
        <w:spacing w:after="0" w:line="237" w:lineRule="exact"/>
        <w:rPr>
          <w:sz w:val="20"/>
          <w:szCs w:val="20"/>
          <w:color w:val="auto"/>
        </w:rPr>
      </w:pPr>
    </w:p>
    <w:tbl>
      <w:tblPr>
        <w:tblLayout w:type="fixed"/>
        <w:tblInd w:w="5960" w:type="dxa"/>
        <w:tblCellMar>
          <w:top w:w="0" w:type="dxa"/>
          <w:left w:w="0" w:type="dxa"/>
          <w:bottom w:w="0" w:type="dxa"/>
          <w:right w:w="0" w:type="dxa"/>
        </w:tblCellMar>
      </w:tblP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Chen Chen</w:t>
            </w:r>
          </w:p>
        </w:tc>
      </w:tr>
      <w:tr>
        <w:trPr>
          <w:trHeight w:val="211"/>
        </w:trPr>
        <w:tc>
          <w:tcPr>
            <w:tcW w:w="112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Chen Chen</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3" w:name="page4"/>
    <w:bookmarkEnd w:id="3"/>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DD5900"/>
        </w:rPr>
        <w:t>ATRenew Inc. Reports Unaudited First Quarter 2026 Financial Results</w:t>
      </w: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May 19, 2026 /PRNewswire/ -- ATRenew Inc. ("ATRenew" or the "Company") (NYSE: RERE), a pioneer in technology-driven recycling and trade-in solutions for consumer products in China, today announced its unaudited financial results for the three months ended March 31,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144"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grew by 32.4% to RMB6,160.1 million (US$893.0 million) from RMB4,653.5 million in the same period of 2025.</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315"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Income from operations </w:t>
      </w:r>
      <w:r>
        <w:rPr>
          <w:rFonts w:ascii="Times New Roman" w:cs="Times New Roman" w:eastAsia="Times New Roman" w:hAnsi="Times New Roman"/>
          <w:sz w:val="17"/>
          <w:szCs w:val="17"/>
          <w:color w:val="auto"/>
        </w:rPr>
        <w:t>increased by 154.9% to RMB185.3 million (US$26.9 million) from RMB72.7 million in the same period of 2025.</w:t>
      </w:r>
      <w:r>
        <w:rPr>
          <w:rFonts w:ascii="Times New Roman" w:cs="Times New Roman" w:eastAsia="Times New Roman" w:hAnsi="Times New Roman"/>
          <w:sz w:val="17"/>
          <w:szCs w:val="17"/>
          <w:b w:val="1"/>
          <w:bCs w:val="1"/>
          <w:color w:val="auto"/>
        </w:rPr>
        <w:t xml:space="preserve"> Adjusted income from operations (non-GAAP)</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grew by 70.2% to RMB190.5 million (US$27.6 million) from RMB111.9 million in the same period of 2025.</w:t>
      </w:r>
    </w:p>
    <w:p>
      <w:pPr>
        <w:spacing w:after="0" w:line="3" w:lineRule="exact"/>
        <w:rPr>
          <w:rFonts w:ascii="Times New Roman" w:cs="Times New Roman" w:eastAsia="Times New Roman" w:hAnsi="Times New Roman"/>
          <w:sz w:val="17"/>
          <w:szCs w:val="17"/>
          <w:color w:val="auto"/>
        </w:rPr>
      </w:pPr>
    </w:p>
    <w:p>
      <w:pPr>
        <w:ind w:left="380" w:hanging="372"/>
        <w:spacing w:after="0" w:line="29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increased by 215.7% to RMB135.1 million (US$19.6 million) from RMB42.8 million in the same period of 2025.</w:t>
      </w:r>
      <w:r>
        <w:rPr>
          <w:rFonts w:ascii="Times New Roman" w:cs="Times New Roman" w:eastAsia="Times New Roman" w:hAnsi="Times New Roman"/>
          <w:sz w:val="18"/>
          <w:szCs w:val="18"/>
          <w:b w:val="1"/>
          <w:bCs w:val="1"/>
          <w:color w:val="auto"/>
        </w:rPr>
        <w:t xml:space="preserve"> Adjusted net income (non-GAAP)</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grew by 79.6% to RMB140.1 million (US$20.3 million) from RMB78.0 million in the same period of 2025.</w:t>
      </w:r>
    </w:p>
    <w:p>
      <w:pPr>
        <w:spacing w:after="0" w:line="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consumer products transacted</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10.8 million compared to 9.5 million in the same period of 2025.</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Kerry Xuefeng Chen, Founder, Chairman, and Chief Executive Officer of ATRenew, commented, “ATRenew achieved accelerated growth across multiple dimensions in the first quarter of 2026. Total net revenue reached RMB6,160.1 million, representing a 32.4% year-on-year increase. We deepened our self-operated capabilities across the value chain. On the sourcing side, we continuously improved users' awareness of recycling and trade-in programs, expanded our doorstep fulfillment network, and actively deployed our capital to acquire first-hand sources. In the meantime, we leverage AI capabilities to offer better prices, thus strengthening control over upstream supply while delivering a more reliable user experience. As we expanded our compliant refurbishment capacity to a high standard on the processing side, we also ensured supply for our direct retail business and high-quality resale to small business owners on the distribution side. These efforts ultimately created greater value end-to-end across the entire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374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20" w:firstLine="8"/>
        <w:spacing w:after="0" w:line="223" w:lineRule="auto"/>
        <w:tabs>
          <w:tab w:leader="none" w:pos="176"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all measures labeled as “non-GAAP” on this page and following pages, please see “Unaudited Reconciliations of GAAP and Non-GAAP Results” for more information.</w:t>
      </w:r>
    </w:p>
    <w:p>
      <w:pPr>
        <w:spacing w:after="0" w:line="1" w:lineRule="exact"/>
        <w:rPr>
          <w:rFonts w:ascii="Times New Roman" w:cs="Times New Roman" w:eastAsia="Times New Roman" w:hAnsi="Times New Roman"/>
          <w:sz w:val="24"/>
          <w:szCs w:val="24"/>
          <w:color w:val="auto"/>
          <w:vertAlign w:val="superscript"/>
        </w:rPr>
      </w:pPr>
    </w:p>
    <w:p>
      <w:pPr>
        <w:jc w:val="both"/>
        <w:ind w:firstLine="8"/>
        <w:spacing w:after="0" w:line="334" w:lineRule="auto"/>
        <w:tabs>
          <w:tab w:leader="none" w:pos="12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“Number of consumer products transacted” represents the number of consumer products distributed to merchants and consumers through transactions on the Company’s PJT Marketplace, Paipai Marketplace and other channels the Company operates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the Company operates through the distribution process to end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Mr. Rex Chen, Chief Financial Officer of ATRenew, added, “In addition to strong topline growth, ATRenew also achieved rapid profit growth in the first quarter of 2026. Adjusted income from operations increased by 70.2% year-on-year to RMB190.5 million. In refining our management and operations, we prioritized building out doorstep fulfillment capabilities and optimizing operational spending. These initiatives, combined with economies of scale, drove year-on-year improvements in our key expense ratios, effectively boosting profitability for the quarter. Looking forward, we will continue to pursue rapid growth in scale and revenue, seize development opportunities in the second-hand industry, and further optimize our cost structure to create long-term value for both users and shareholders.”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increased by 32.4% to RMB6,160.1 million (US$893.0 million) from RMB4,653.5 million in the same period of 2025.</w:t>
      </w:r>
    </w:p>
    <w:p>
      <w:pPr>
        <w:spacing w:after="0" w:line="144" w:lineRule="exact"/>
        <w:rPr>
          <w:sz w:val="20"/>
          <w:szCs w:val="20"/>
          <w:color w:val="auto"/>
        </w:rPr>
      </w:pPr>
    </w:p>
    <w:p>
      <w:pPr>
        <w:ind w:left="380" w:right="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revenues increased by 34.4% to RMB5,729.8 million (US$830.6 million) from RMB4,263.7 million in the same period of 2025. The increase was primarily attributable to an increase in the sales of pre-owned consumer electronics through the Company’s online channels.</w:t>
      </w:r>
    </w:p>
    <w:p>
      <w:pPr>
        <w:spacing w:after="0" w:line="9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service revenues increased by 10.4% to RMB430.3 million (US$62.4 million), compared to RMB389.8 million in the same period of 2025. This increase was primarily due to an increase in the service revenue generated from multi-category recycling business and PJT Marketplace.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costs and expenses were RMB5,987.9 million (US$868.1 million), compared to RMB4,581.0 million in the same period of 2025, representing an increase of 30.7%.</w:t>
      </w:r>
    </w:p>
    <w:p>
      <w:pPr>
        <w:spacing w:after="0" w:line="94" w:lineRule="exact"/>
        <w:rPr>
          <w:sz w:val="20"/>
          <w:szCs w:val="20"/>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costs were RMB4,816.8 million (US$698.3 million), compared to RMB3,615.9 million in the same period of 2025, representing an increase of 33.2%. The increase was primarily due to the growth in product sales.</w:t>
      </w:r>
    </w:p>
    <w:p>
      <w:pPr>
        <w:spacing w:after="0" w:line="9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expenses were RMB524.0 million (US$76.0 million), compared to RMB427.8 million in the same period of 2025, representing an increase of 22.5%. The increase was primarily due to (i) an increase in personnel costs driven by the growth of our business, and (ii) an increase in operating center related expenses as the Company conducted more recycling and transaction activities compared with the same period of 2025.</w:t>
      </w:r>
    </w:p>
    <w:p>
      <w:pPr>
        <w:spacing w:after="0" w:line="94"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were RMB493.9 million (US$71.6 million), compared to RMB418.9 million in the same period of 2025, representing an increase of 17.9%. The increase was primarily due to an increase in commission expenses in relation to channel service fees, partially offset by a decrease in amortization of intangible assets resulting from assets and business acquisitions due to the maturity of major remaining intangible assets in the second quarter of 2025.</w:t>
      </w:r>
    </w:p>
    <w:p>
      <w:pPr>
        <w:spacing w:after="0" w:line="11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RMB79.8 million (US$11.6 million), compared to RMB63.4 million in the same period of 2025, representing an increase of 25.9%. The increase was primarily due to an increase in personnel costs and sales tax and associated charges, partially offset by a decrease in share-based compensation expenses.</w:t>
      </w:r>
    </w:p>
    <w:p>
      <w:pPr>
        <w:spacing w:after="0" w:line="10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RMB73.4 million (US$10.6 million), compared to RMB55.0 million in the same period of 2025, representing an increase of 33.5%. The increase was primarily due to an increase in personnel costs.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RMB185.3 million (US$26.9 million), representing an increase of 154.9% from RMB72.7 million in the same period of 2025.</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income from operations (non-GAAP) was RMB190.5 million (US$27.6 million), representing an increase of 70.2% from RMB111.9 million in the same period of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RMB135.1 million (US$19.6 million), representing an increase of 215.7% from RMB42.8 million in the same period of 2025.</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(non-GAAP) was RMB140.1 million (US$20.3 million), representing an increase of 79.6% from RMB78.0 million in the same period of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PER ORDINARY SHARE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ordinary share were RMB0.84 (US$0.12) and RMB0.84 (US$0.12), compared to RMB0.27 and RMB0.26 in the same period of 2025.</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basic and diluted net income per ordinary share (non-GAAP) were RMB0.87 (US$0.13) and RMB0.87 (US$0.13), compared to RMB0.48 and RMB0.48 in the same period of 2025.</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SHORT-TERM INVESTMENTS AND FUNDS RECEIVABLE FROM THIRD PARTY PAYMENT SERVICE PROVIDERS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restricted cash, short-term investments and funds receivable from third party payment service providers were RMB1,718.8 million (US$249.2 million) as of March 31, 2026, as compared to RMB2,187.4 million as of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2026, the Company currently expects its total revenues to be between RMB6,240.0 million and RMB6,340.0 million, representing an increase of 25.0% to 27.0% year-over-year. This forecast only reflects the Company's current and preliminary views on the market and operational conditions, which are subject to change.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the board of directors of the Company (the “Board”) authorized a new share repurchase program, under which the Company may repurchase up to US$50 million of its shares (including ADSs) over a 12-month period starting from June 30, 2025. During the first quarter of 2026, the Company repurchased a total of approximately 0.5 million ADSs for approximately US$2.7 million. As of March 31, 2026, the Company had cumulatively repurchased a total of approximately 2.3 million ADSs for approximately US$10.6 million, with approximately US$39.4 million remaining available for repurchases under the share repurchase program. On May 19, 2026, the Board has authorized an extension of the existing share repurchase program for an additional 12-month period commencing from June 30, 2026, with other key terms remaining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 conference call on Tuesday, May 19, 2026 at 08:00 A.M. Eastern Time (or 08:00 P.M. Beijing Time on the same day) to discuss the financial results. Listeners may access the call by dialing the following numbers: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7"/>
              </w:rPr>
              <w:t>1-412-317-6061</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7"/>
              </w:rPr>
              <w:t>1-888-317-6003</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2239384</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May 26, 2026 by dialing the following numbers: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1-412-317-0088</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1-855-669-9658</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3889521</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ir.atrenew.com.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ATRenew Inc.</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Headquartered in Shanghai, ATRenew Inc. is a pioneer in technology-driven recycling and trade-in solutions for consumer products in China. Since inception in 2011, ATRenew has been on a mission to give a second life to all idle goods, reducing the environmental impact of pre-owned consumer products by facilitating recycling, trade-ins and distribution that prolong their lifecycle. ATRenew's open platform integrates C2B, B2B, and B2C capabilities to empower its online and offline services. Powered by proprietary technologies and a scalable platform ecosystem, ATRenew enhances transaction efficiency and pricing transparency for consumers and merchants alike while advancing circular economy standards in China. ATRenew is a participant in the United Nations Global Compact, and adheres to its principles-based approach to responsible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RMB6.8980 to US$1.00, the exchange rate set forth in the H.10 statistical release of the Board of Governors of the Federal Reserve System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uses certain non-GAAP financial measures in evaluating its business. For example, the Company uses adjusted income from operations, adjusted net income and adjusted net income per ordinary share as supplemental measures to review and assess its financial and operating performance. The presentation of these non-GAAP financial measures is not intended to be considered in isolation, or as a substitute for the financial information prepared and presented in accordance with U.S. GAAP. Adjusted income from operations is income from operations excluding the share-based compensation expenses and amortization of intangible assets resulting from assets and business acquisitions. Adjusted net income is net income excluding the share-based compensation expenses and amortization of intangible assets resulting from assets and business acquisitions and tax effects of amortization of intangible assets resulting from assets and business acquisitions. Adjusted net income per ordinary share is adjusted net income attributable to ordinary shareholders divided by weighted average number of shares used in calculating net income per ordinary share.</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non-GAAP financial measures because they are used by the Company’s management to evaluate the Company’s financial and operating performance and formulate business plans. The Company believes that adjusted income from operations and adjusted net income help identify underlying trends in the Company’s business that could otherwise be distorted by the effect of certain expenses that are included in income from operations and net income. The Company also believes that the use of non-GAAP financial measures facilitates investors’ assessment of the Company’s operating performance. The Company believes that adjusted income from operations and adjusted net 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 making.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One of the key limitations of using non-GAAP financial measures is that they do not reflect all items of income and expense that affect the Company’s operations. The share-based compensation expenses, amortization of intangible assets resulting from assets and business acquisitions and tax effects of amortization of intangible assets resulting from assets and business acquisitions have been and may continue to be incurred in the Company’s business and is not reflected in the presentation of non-GAAP financial measures. Further, the non-GAAP measures may differ from the non-GAAP measures used by other companies, including peer companies, potentially limiting the comparability of their financial results to the Company’s. In light of the foregoing limitations, the non-GAAP financial measures for the period should not be considered in isolation from or as an alternative to income from operations, net income, and net income attributable to ordinary shareholders per share, or other financial measures prepared in accordance with U.S. GAAP.</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compensates for these limitations by reconciling the non-GAAP financial measures to the nearest U.S. GAAP performance measures, which should be considered when evaluating the Company’s performance. For reconciliations of these non-GAAP financial measures to the most directly comparable GAAP financial measures, please see the section of the accompanying tables titled, “Reconciliations of GAAP and Non-GAAP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ATRenew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ATRenew's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ATRenew's strategies; ATRenew's future business development, financial condition and results of operations; ATRenew's ability to maintain its relationship with major strategic investors; its ability to facilitate pre-owned consumer electronics transactions and provide relevant services; its ability to maintain and enhance the recognition and reputation of its brand; general economic and business conditions globally and in China and assumptions underlying or related to any of the foregoing. Further information regarding these and other risks is included in ATRenew's filings with the SEC. All information provided in this press release is as of the date of this press release, and ATRenew does not undertake any obligation to update any forward-looking statement, except as required under applicable law.</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ATRenew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ir@atrenew.com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rere@christensencomms.com</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260" w:type="dxa"/>
            <w:vAlign w:val="bottom"/>
          </w:tcPr>
          <w:p>
            <w:pPr>
              <w:spacing w:after="0"/>
              <w:rPr>
                <w:sz w:val="13"/>
                <w:szCs w:val="13"/>
                <w:color w:val="auto"/>
              </w:rPr>
            </w:pPr>
          </w:p>
        </w:tc>
        <w:tc>
          <w:tcPr>
            <w:tcW w:w="2600" w:type="dxa"/>
            <w:vAlign w:val="bottom"/>
            <w:tcBorders>
              <w:bottom w:val="single" w:sz="8" w:color="auto"/>
            </w:tcBorders>
            <w:gridSpan w:val="3"/>
          </w:tcPr>
          <w:p>
            <w:pPr>
              <w:jc w:val="center"/>
              <w:ind w:left="1188"/>
              <w:spacing w:after="0"/>
              <w:rPr>
                <w:sz w:val="20"/>
                <w:szCs w:val="20"/>
                <w:color w:val="auto"/>
              </w:rPr>
            </w:pPr>
            <w:r>
              <w:rPr>
                <w:rFonts w:ascii="Times New Roman" w:cs="Times New Roman" w:eastAsia="Times New Roman" w:hAnsi="Times New Roman"/>
                <w:sz w:val="13"/>
                <w:szCs w:val="13"/>
                <w:b w:val="1"/>
                <w:bCs w:val="1"/>
                <w:color w:val="auto"/>
                <w:w w:val="96"/>
              </w:rPr>
              <w:t>As of March 31,</w:t>
            </w: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4880" w:type="dxa"/>
            <w:vAlign w:val="bottom"/>
          </w:tcPr>
          <w:p>
            <w:pPr>
              <w:spacing w:after="0"/>
              <w:rPr>
                <w:sz w:val="11"/>
                <w:szCs w:val="11"/>
                <w:color w:val="auto"/>
              </w:rPr>
            </w:pPr>
          </w:p>
        </w:tc>
        <w:tc>
          <w:tcPr>
            <w:tcW w:w="21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60" w:type="dxa"/>
            <w:vAlign w:val="bottom"/>
          </w:tcPr>
          <w:p>
            <w:pPr>
              <w:spacing w:after="0"/>
              <w:rPr>
                <w:sz w:val="11"/>
                <w:szCs w:val="11"/>
                <w:color w:val="auto"/>
              </w:rPr>
            </w:pPr>
          </w:p>
        </w:tc>
        <w:tc>
          <w:tcPr>
            <w:tcW w:w="2600" w:type="dxa"/>
            <w:vAlign w:val="bottom"/>
            <w:tcBorders>
              <w:bottom w:val="single" w:sz="8" w:color="auto"/>
            </w:tcBorders>
            <w:gridSpan w:val="3"/>
          </w:tcPr>
          <w:p>
            <w:pPr>
              <w:jc w:val="right"/>
              <w:ind w:right="54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4880" w:type="dxa"/>
            <w:vAlign w:val="bottom"/>
          </w:tcPr>
          <w:p>
            <w:pPr>
              <w:spacing w:after="0"/>
              <w:rPr>
                <w:sz w:val="11"/>
                <w:szCs w:val="11"/>
                <w:color w:val="auto"/>
              </w:rPr>
            </w:pPr>
          </w:p>
        </w:tc>
        <w:tc>
          <w:tcPr>
            <w:tcW w:w="21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60" w:type="dxa"/>
            <w:vAlign w:val="bottom"/>
          </w:tcPr>
          <w:p>
            <w:pPr>
              <w:spacing w:after="0"/>
              <w:rPr>
                <w:sz w:val="11"/>
                <w:szCs w:val="11"/>
                <w:color w:val="auto"/>
              </w:rPr>
            </w:pPr>
          </w:p>
        </w:tc>
        <w:tc>
          <w:tcPr>
            <w:tcW w:w="2600" w:type="dxa"/>
            <w:vAlign w:val="bottom"/>
            <w:gridSpan w:val="3"/>
          </w:tcPr>
          <w:p>
            <w:pPr>
              <w:ind w:left="76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80" w:type="dxa"/>
            <w:vAlign w:val="bottom"/>
          </w:tcPr>
          <w:p>
            <w:pPr>
              <w:jc w:val="right"/>
              <w:ind w:right="744"/>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1"/>
                <w:szCs w:val="11"/>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2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assets:</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1,537,461</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1,012,641</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146,802</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Short-term investments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267,641</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247,913</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35,940</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Amount due from related parties, net</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414,779</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482,458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69,942</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1,074,080</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1,486,198</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215,453</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Funds receivable from third party payment service providers</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381,284</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457,279</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66,292</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Accounts receivables, net</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131,598</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145,388</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21,077</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Prepayments and other receivables, net</w:t>
            </w:r>
          </w:p>
        </w:tc>
        <w:tc>
          <w:tcPr>
            <w:tcW w:w="2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933,960</w:t>
            </w:r>
          </w:p>
        </w:tc>
        <w:tc>
          <w:tcPr>
            <w:tcW w:w="26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941,984</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136,560</w:t>
            </w:r>
          </w:p>
        </w:tc>
        <w:tc>
          <w:tcPr>
            <w:tcW w:w="100" w:type="dxa"/>
            <w:vAlign w:val="bottom"/>
          </w:tcPr>
          <w:p>
            <w:pPr>
              <w:spacing w:after="0"/>
              <w:rPr>
                <w:sz w:val="14"/>
                <w:szCs w:val="14"/>
                <w:color w:val="auto"/>
              </w:rPr>
            </w:pPr>
          </w:p>
        </w:tc>
      </w:tr>
      <w:tr>
        <w:trPr>
          <w:trHeight w:val="155"/>
        </w:trPr>
        <w:tc>
          <w:tcPr>
            <w:tcW w:w="48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2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4,741,303</w:t>
            </w:r>
          </w:p>
        </w:tc>
        <w:tc>
          <w:tcPr>
            <w:tcW w:w="20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4,774,361</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692,138</w:t>
            </w:r>
          </w:p>
        </w:tc>
        <w:tc>
          <w:tcPr>
            <w:tcW w:w="100" w:type="dxa"/>
            <w:vAlign w:val="bottom"/>
            <w:shd w:val="clear" w:color="auto" w:fill="CFF0FC"/>
          </w:tcPr>
          <w:p>
            <w:pPr>
              <w:spacing w:after="0"/>
              <w:rPr>
                <w:sz w:val="13"/>
                <w:szCs w:val="13"/>
                <w:color w:val="auto"/>
              </w:rPr>
            </w:pPr>
          </w:p>
        </w:tc>
      </w:tr>
      <w:tr>
        <w:trPr>
          <w:trHeight w:val="156"/>
        </w:trPr>
        <w:tc>
          <w:tcPr>
            <w:tcW w:w="48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Non-current assets:</w:t>
            </w:r>
          </w:p>
        </w:tc>
        <w:tc>
          <w:tcPr>
            <w:tcW w:w="21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Long-term investments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485,401</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467,253</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67,737</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239,378</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235,968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34,208</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10,653</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9,875</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1,432</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non-current assets</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489,209</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497,693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72,150</w:t>
            </w:r>
          </w:p>
        </w:tc>
        <w:tc>
          <w:tcPr>
            <w:tcW w:w="100" w:type="dxa"/>
            <w:vAlign w:val="bottom"/>
          </w:tcPr>
          <w:p>
            <w:pPr>
              <w:spacing w:after="0"/>
              <w:rPr>
                <w:sz w:val="14"/>
                <w:szCs w:val="14"/>
                <w:color w:val="auto"/>
              </w:rPr>
            </w:pPr>
          </w:p>
        </w:tc>
      </w:tr>
      <w:tr>
        <w:trPr>
          <w:trHeight w:val="162"/>
        </w:trPr>
        <w:tc>
          <w:tcPr>
            <w:tcW w:w="48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21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1,224,641</w:t>
            </w:r>
          </w:p>
        </w:tc>
        <w:tc>
          <w:tcPr>
            <w:tcW w:w="260" w:type="dxa"/>
            <w:vAlign w:val="bottom"/>
            <w:tcBorders>
              <w:bottom w:val="single" w:sz="8" w:color="CFF0FC"/>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1,210,789</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175,527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5,965,944</w:t>
            </w:r>
          </w:p>
        </w:tc>
        <w:tc>
          <w:tcPr>
            <w:tcW w:w="20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5,985,150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867,665</w:t>
            </w:r>
          </w:p>
        </w:tc>
        <w:tc>
          <w:tcPr>
            <w:tcW w:w="100" w:type="dxa"/>
            <w:vAlign w:val="bottom"/>
          </w:tcPr>
          <w:p>
            <w:pPr>
              <w:spacing w:after="0"/>
              <w:rPr>
                <w:sz w:val="13"/>
                <w:szCs w:val="13"/>
                <w:color w:val="auto"/>
              </w:rPr>
            </w:pPr>
          </w:p>
        </w:tc>
      </w:tr>
      <w:tr>
        <w:trPr>
          <w:trHeight w:val="20"/>
        </w:trPr>
        <w:tc>
          <w:tcPr>
            <w:tcW w:w="48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liabilities:</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Short-term borrowings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322,855</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294,706</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42,723</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335,622</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225,011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32,620</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231,771</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271,178</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39,313</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644,782</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841,980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122,061</w:t>
            </w:r>
          </w:p>
        </w:tc>
        <w:tc>
          <w:tcPr>
            <w:tcW w:w="100" w:type="dxa"/>
            <w:vAlign w:val="bottom"/>
          </w:tcPr>
          <w:p>
            <w:pPr>
              <w:spacing w:after="0"/>
              <w:rPr>
                <w:sz w:val="14"/>
                <w:szCs w:val="14"/>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Accrued payroll and welfare</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189,904</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181,242</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26,275</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Amount due to related parties</w:t>
            </w:r>
          </w:p>
        </w:tc>
        <w:tc>
          <w:tcPr>
            <w:tcW w:w="2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178,224</w:t>
            </w:r>
          </w:p>
        </w:tc>
        <w:tc>
          <w:tcPr>
            <w:tcW w:w="26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160,367</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23,248</w:t>
            </w:r>
          </w:p>
        </w:tc>
        <w:tc>
          <w:tcPr>
            <w:tcW w:w="100" w:type="dxa"/>
            <w:vAlign w:val="bottom"/>
          </w:tcPr>
          <w:p>
            <w:pPr>
              <w:spacing w:after="0"/>
              <w:rPr>
                <w:sz w:val="14"/>
                <w:szCs w:val="14"/>
                <w:color w:val="auto"/>
              </w:rPr>
            </w:pPr>
          </w:p>
        </w:tc>
      </w:tr>
      <w:tr>
        <w:trPr>
          <w:trHeight w:val="155"/>
        </w:trPr>
        <w:tc>
          <w:tcPr>
            <w:tcW w:w="48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1,903,158</w:t>
            </w:r>
          </w:p>
        </w:tc>
        <w:tc>
          <w:tcPr>
            <w:tcW w:w="20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1,974,484</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286,240</w:t>
            </w:r>
          </w:p>
        </w:tc>
        <w:tc>
          <w:tcPr>
            <w:tcW w:w="100" w:type="dxa"/>
            <w:vAlign w:val="bottom"/>
            <w:shd w:val="clear" w:color="auto" w:fill="CFF0FC"/>
          </w:tcPr>
          <w:p>
            <w:pPr>
              <w:spacing w:after="0"/>
              <w:rPr>
                <w:sz w:val="13"/>
                <w:szCs w:val="13"/>
                <w:color w:val="auto"/>
              </w:rPr>
            </w:pPr>
          </w:p>
        </w:tc>
      </w:tr>
      <w:tr>
        <w:trPr>
          <w:trHeight w:val="155"/>
        </w:trPr>
        <w:tc>
          <w:tcPr>
            <w:tcW w:w="48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Non-current liabilities:</w:t>
            </w:r>
          </w:p>
        </w:tc>
        <w:tc>
          <w:tcPr>
            <w:tcW w:w="21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Operating lease liabilities, non-current</w:t>
            </w:r>
          </w:p>
        </w:tc>
        <w:tc>
          <w:tcPr>
            <w:tcW w:w="2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70,031</w:t>
            </w:r>
          </w:p>
        </w:tc>
        <w:tc>
          <w:tcPr>
            <w:tcW w:w="20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64,847</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9,401</w:t>
            </w:r>
          </w:p>
        </w:tc>
        <w:tc>
          <w:tcPr>
            <w:tcW w:w="100" w:type="dxa"/>
            <w:vAlign w:val="bottom"/>
            <w:shd w:val="clear" w:color="auto" w:fill="CFF0FC"/>
          </w:tcPr>
          <w:p>
            <w:pPr>
              <w:spacing w:after="0"/>
              <w:rPr>
                <w:sz w:val="14"/>
                <w:szCs w:val="14"/>
                <w:color w:val="auto"/>
              </w:rPr>
            </w:pPr>
          </w:p>
        </w:tc>
      </w:tr>
      <w:tr>
        <w:trPr>
          <w:trHeight w:val="162"/>
        </w:trPr>
        <w:tc>
          <w:tcPr>
            <w:tcW w:w="4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Deferred tax liabilities</w:t>
            </w:r>
          </w:p>
        </w:tc>
        <w:tc>
          <w:tcPr>
            <w:tcW w:w="2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2,352</w:t>
            </w:r>
          </w:p>
        </w:tc>
        <w:tc>
          <w:tcPr>
            <w:tcW w:w="26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2,235</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324</w:t>
            </w:r>
          </w:p>
        </w:tc>
        <w:tc>
          <w:tcPr>
            <w:tcW w:w="100" w:type="dxa"/>
            <w:vAlign w:val="bottom"/>
          </w:tcPr>
          <w:p>
            <w:pPr>
              <w:spacing w:after="0"/>
              <w:rPr>
                <w:sz w:val="14"/>
                <w:szCs w:val="14"/>
                <w:color w:val="auto"/>
              </w:rPr>
            </w:pPr>
          </w:p>
        </w:tc>
      </w:tr>
      <w:tr>
        <w:trPr>
          <w:trHeight w:val="155"/>
        </w:trPr>
        <w:tc>
          <w:tcPr>
            <w:tcW w:w="48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2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72,383</w:t>
            </w:r>
          </w:p>
        </w:tc>
        <w:tc>
          <w:tcPr>
            <w:tcW w:w="260" w:type="dxa"/>
            <w:vAlign w:val="bottom"/>
            <w:tcBorders>
              <w:bottom w:val="single" w:sz="8" w:color="CFF0FC"/>
            </w:tcBorders>
            <w:shd w:val="clear" w:color="auto" w:fill="CFF0FC"/>
          </w:tcPr>
          <w:p>
            <w:pPr>
              <w:spacing w:after="0"/>
              <w:rPr>
                <w:sz w:val="13"/>
                <w:szCs w:val="13"/>
                <w:color w:val="auto"/>
              </w:rPr>
            </w:pPr>
          </w:p>
        </w:tc>
        <w:tc>
          <w:tcPr>
            <w:tcW w:w="18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67,082</w:t>
            </w:r>
          </w:p>
        </w:tc>
        <w:tc>
          <w:tcPr>
            <w:tcW w:w="2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9,725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2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1,975,541</w:t>
            </w:r>
          </w:p>
        </w:tc>
        <w:tc>
          <w:tcPr>
            <w:tcW w:w="260" w:type="dxa"/>
            <w:vAlign w:val="bottom"/>
          </w:tcPr>
          <w:p>
            <w:pPr>
              <w:spacing w:after="0"/>
              <w:rPr>
                <w:sz w:val="13"/>
                <w:szCs w:val="13"/>
                <w:color w:val="auto"/>
              </w:rPr>
            </w:pPr>
          </w:p>
        </w:tc>
        <w:tc>
          <w:tcPr>
            <w:tcW w:w="1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2,041,566</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295,965</w:t>
            </w:r>
          </w:p>
        </w:tc>
        <w:tc>
          <w:tcPr>
            <w:tcW w:w="100" w:type="dxa"/>
            <w:vAlign w:val="bottom"/>
          </w:tcPr>
          <w:p>
            <w:pPr>
              <w:spacing w:after="0"/>
              <w:rPr>
                <w:sz w:val="13"/>
                <w:szCs w:val="13"/>
                <w:color w:val="auto"/>
              </w:rPr>
            </w:pPr>
          </w:p>
        </w:tc>
      </w:tr>
      <w:tr>
        <w:trPr>
          <w:trHeight w:val="155"/>
        </w:trPr>
        <w:tc>
          <w:tcPr>
            <w:tcW w:w="48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3,990,403</w:t>
            </w:r>
          </w:p>
        </w:tc>
        <w:tc>
          <w:tcPr>
            <w:tcW w:w="260" w:type="dxa"/>
            <w:vAlign w:val="bottom"/>
            <w:tcBorders>
              <w:bottom w:val="single" w:sz="8" w:color="CFF0FC"/>
            </w:tcBorders>
            <w:shd w:val="clear" w:color="auto" w:fill="CFF0FC"/>
          </w:tcPr>
          <w:p>
            <w:pPr>
              <w:spacing w:after="0"/>
              <w:rPr>
                <w:sz w:val="13"/>
                <w:szCs w:val="13"/>
                <w:color w:val="auto"/>
              </w:rPr>
            </w:pPr>
          </w:p>
        </w:tc>
        <w:tc>
          <w:tcPr>
            <w:tcW w:w="18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3,943,584</w:t>
            </w:r>
          </w:p>
        </w:tc>
        <w:tc>
          <w:tcPr>
            <w:tcW w:w="2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571,700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48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5,965,944</w:t>
            </w:r>
          </w:p>
        </w:tc>
        <w:tc>
          <w:tcPr>
            <w:tcW w:w="20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5,985,150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867,665</w:t>
            </w:r>
          </w:p>
        </w:tc>
        <w:tc>
          <w:tcPr>
            <w:tcW w:w="100" w:type="dxa"/>
            <w:vAlign w:val="bottom"/>
          </w:tcPr>
          <w:p>
            <w:pPr>
              <w:spacing w:after="0"/>
              <w:rPr>
                <w:sz w:val="13"/>
                <w:szCs w:val="13"/>
                <w:color w:val="auto"/>
              </w:rPr>
            </w:pPr>
          </w:p>
        </w:tc>
      </w:tr>
      <w:tr>
        <w:trPr>
          <w:trHeight w:val="20"/>
        </w:trPr>
        <w:tc>
          <w:tcPr>
            <w:tcW w:w="48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-2485390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-2485390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-1859280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-1859280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-788035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-788035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-359410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-359410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-136525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-136525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2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58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7"/>
                <w:szCs w:val="17"/>
                <w:color w:val="auto"/>
              </w:rPr>
            </w:pPr>
          </w:p>
        </w:tc>
      </w:tr>
      <w:tr>
        <w:trPr>
          <w:trHeight w:val="196"/>
        </w:trPr>
        <w:tc>
          <w:tcPr>
            <w:tcW w:w="5420" w:type="dxa"/>
            <w:vAlign w:val="bottom"/>
          </w:tcPr>
          <w:p>
            <w:pPr>
              <w:spacing w:after="0"/>
              <w:rPr>
                <w:sz w:val="17"/>
                <w:szCs w:val="17"/>
                <w:color w:val="auto"/>
              </w:rPr>
            </w:pPr>
          </w:p>
        </w:tc>
        <w:tc>
          <w:tcPr>
            <w:tcW w:w="12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7"/>
                <w:szCs w:val="17"/>
                <w:color w:val="auto"/>
              </w:rPr>
            </w:pPr>
          </w:p>
        </w:tc>
        <w:tc>
          <w:tcPr>
            <w:tcW w:w="14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7"/>
                <w:szCs w:val="17"/>
                <w:color w:val="auto"/>
              </w:rPr>
            </w:pP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Net product revenues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4,263,679</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5,831,223</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5,729,814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830,649</w:t>
            </w:r>
          </w:p>
        </w:tc>
        <w:tc>
          <w:tcPr>
            <w:tcW w:w="100" w:type="dxa"/>
            <w:vAlign w:val="bottom"/>
          </w:tcPr>
          <w:p>
            <w:pPr>
              <w:spacing w:after="0"/>
              <w:rPr>
                <w:sz w:val="17"/>
                <w:szCs w:val="17"/>
                <w:color w:val="auto"/>
              </w:rPr>
            </w:pPr>
          </w:p>
        </w:tc>
      </w:tr>
      <w:tr>
        <w:trPr>
          <w:trHeight w:val="159"/>
        </w:trPr>
        <w:tc>
          <w:tcPr>
            <w:tcW w:w="54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Net service revenues</w:t>
            </w:r>
          </w:p>
        </w:tc>
        <w:tc>
          <w:tcPr>
            <w:tcW w:w="128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389,766</w:t>
            </w:r>
          </w:p>
        </w:tc>
        <w:tc>
          <w:tcPr>
            <w:tcW w:w="240" w:type="dxa"/>
            <w:vAlign w:val="bottom"/>
          </w:tcPr>
          <w:p>
            <w:pPr>
              <w:spacing w:after="0"/>
              <w:rPr>
                <w:sz w:val="13"/>
                <w:szCs w:val="13"/>
                <w:color w:val="auto"/>
              </w:rPr>
            </w:pPr>
          </w:p>
        </w:tc>
        <w:tc>
          <w:tcPr>
            <w:tcW w:w="14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422,968</w:t>
            </w:r>
          </w:p>
        </w:tc>
        <w:tc>
          <w:tcPr>
            <w:tcW w:w="20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430,300</w:t>
            </w:r>
          </w:p>
        </w:tc>
        <w:tc>
          <w:tcPr>
            <w:tcW w:w="22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62,380</w:t>
            </w:r>
          </w:p>
        </w:tc>
        <w:tc>
          <w:tcPr>
            <w:tcW w:w="100" w:type="dxa"/>
            <w:vAlign w:val="bottom"/>
          </w:tcPr>
          <w:p>
            <w:pPr>
              <w:spacing w:after="0"/>
              <w:rPr>
                <w:sz w:val="13"/>
                <w:szCs w:val="13"/>
                <w:color w:val="auto"/>
              </w:rPr>
            </w:pPr>
          </w:p>
        </w:tc>
      </w:tr>
      <w:tr>
        <w:trPr>
          <w:trHeight w:val="246"/>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Operating (expenses) income </w:t>
            </w:r>
            <w:r>
              <w:rPr>
                <w:rFonts w:ascii="Times New Roman" w:cs="Times New Roman" w:eastAsia="Times New Roman" w:hAnsi="Times New Roman"/>
                <w:sz w:val="21"/>
                <w:szCs w:val="21"/>
                <w:b w:val="1"/>
                <w:bCs w:val="1"/>
                <w:color w:val="auto"/>
                <w:vertAlign w:val="superscript"/>
              </w:rPr>
              <w:t>(1)(2)</w:t>
            </w: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Merchandise costs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(3,615,916)</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(5,032,320)</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(4,816,769)</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(698,285)</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Fulfillment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(427,849)</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(483,139)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(524,048)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(75,971)</w:t>
            </w: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(418,858)</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(464,083)</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(493,873)</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(71,597)</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(63,374)</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(59,966)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(79,831)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(11,573)</w:t>
            </w: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(55,004)</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(62,618)</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(73,404)</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(10,641)</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72,688</w:t>
            </w: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171,640</w:t>
            </w:r>
          </w:p>
        </w:tc>
        <w:tc>
          <w:tcPr>
            <w:tcW w:w="2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185,320</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(1,885)</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w:t>
            </w: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(6,487)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(8,344)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(15,973)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(2,316)</w:t>
            </w: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 and share of loss in equity method investments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72,690</w:t>
            </w:r>
          </w:p>
        </w:tc>
        <w:tc>
          <w:tcPr>
            <w:tcW w:w="2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162,772</w:t>
            </w: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171,160</w:t>
            </w: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24,813</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(6,270)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(16,284)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(19,022)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(2,758)</w:t>
            </w:r>
          </w:p>
        </w:tc>
      </w:tr>
      <w:tr>
        <w:trPr>
          <w:trHeight w:val="202"/>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(23,620)</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(16,153)</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(17,044)</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(2,471)</w:t>
            </w:r>
          </w:p>
        </w:tc>
      </w:tr>
      <w:tr>
        <w:trPr>
          <w:trHeight w:val="196"/>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24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130,335</w:t>
            </w:r>
          </w:p>
        </w:tc>
        <w:tc>
          <w:tcPr>
            <w:tcW w:w="20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135,094</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00" w:type="dxa"/>
            <w:vAlign w:val="bottom"/>
            <w:tcBorders>
              <w:top w:val="single" w:sz="8" w:color="CFF0FC"/>
            </w:tcBorders>
          </w:tcPr>
          <w:p>
            <w:pPr>
              <w:spacing w:after="0"/>
              <w:rPr>
                <w:sz w:val="17"/>
                <w:szCs w:val="17"/>
                <w:color w:val="auto"/>
              </w:rPr>
            </w:pP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ordinary share:</w:t>
            </w: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7"/>
                <w:szCs w:val="17"/>
                <w:color w:val="auto"/>
              </w:rPr>
            </w:pPr>
          </w:p>
        </w:tc>
      </w:tr>
      <w:tr>
        <w:trPr>
          <w:trHeight w:val="20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spacing w:after="0"/>
              <w:rPr>
                <w:sz w:val="17"/>
                <w:szCs w:val="17"/>
                <w:color w:val="auto"/>
              </w:rPr>
            </w:pPr>
          </w:p>
        </w:tc>
      </w:t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 calculating net income per</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161,373,633</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161,005,931</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160,826,793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160,826,793</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162,568,603</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162,019,666</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161,376,066</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161,376,066</w:t>
            </w:r>
          </w:p>
        </w:tc>
        <w:tc>
          <w:tcPr>
            <w:tcW w:w="100" w:type="dxa"/>
            <w:vAlign w:val="bottom"/>
          </w:tcPr>
          <w:p>
            <w:pPr>
              <w:spacing w:after="0"/>
              <w:rPr>
                <w:sz w:val="17"/>
                <w:szCs w:val="17"/>
                <w:color w:val="auto"/>
              </w:rPr>
            </w:pP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42,800</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130,335</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135,094</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(7,080)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(1,026)</w:t>
            </w:r>
          </w:p>
        </w:tc>
      </w:tr>
      <w:tr>
        <w:trPr>
          <w:trHeight w:val="236"/>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41,801</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132,688</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128,014</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-2253615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-2253615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-2253615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-1464945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5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594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Includes share-based compensation expenses as follows: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Fulfillment expenses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(2,357)</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(2,965)</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(1,745)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(4,437)</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1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(2,415)</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(1,983)</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(2,298)</w:t>
            </w:r>
          </w:p>
        </w:tc>
        <w:tc>
          <w:tcPr>
            <w:tcW w:w="1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(1,130)</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r>
    </w:tbl>
    <w:p>
      <w:pPr>
        <w:ind w:right="5820" w:firstLine="8"/>
        <w:spacing w:after="0" w:line="260" w:lineRule="auto"/>
        <w:tabs>
          <w:tab w:leader="none" w:pos="2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intangible assets resulting from assets and business acquisitions as follows:</w:t>
      </w:r>
    </w:p>
    <w:tbl>
      <w:tblPr>
        <w:tblLayout w:type="fixed"/>
        <w:tblInd w:w="0" w:type="dxa"/>
        <w:tblCellMar>
          <w:top w:w="0" w:type="dxa"/>
          <w:left w:w="0" w:type="dxa"/>
          <w:bottom w:w="0" w:type="dxa"/>
          <w:right w:w="0" w:type="dxa"/>
        </w:tblCellMar>
      </w:tblPr>
      <w:tr>
        <w:trPr>
          <w:trHeight w:val="200"/>
        </w:trPr>
        <w:tc>
          <w:tcPr>
            <w:tcW w:w="412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rPr>
              <w:t>Selling and marketing expenses</w:t>
            </w:r>
          </w:p>
        </w:tc>
        <w:tc>
          <w:tcPr>
            <w:tcW w:w="3500" w:type="dxa"/>
            <w:vAlign w:val="bottom"/>
            <w:shd w:val="clear" w:color="auto" w:fill="CFF0FC"/>
          </w:tcPr>
          <w:p>
            <w:pPr>
              <w:jc w:val="right"/>
              <w:ind w:right="490"/>
              <w:spacing w:after="0" w:line="200" w:lineRule="exact"/>
              <w:rPr>
                <w:sz w:val="20"/>
                <w:szCs w:val="20"/>
                <w:color w:val="auto"/>
              </w:rPr>
            </w:pPr>
            <w:r>
              <w:rPr>
                <w:rFonts w:ascii="Times New Roman" w:cs="Times New Roman" w:eastAsia="Times New Roman" w:hAnsi="Times New Roman"/>
                <w:sz w:val="18"/>
                <w:szCs w:val="18"/>
                <w:color w:val="auto"/>
              </w:rPr>
              <w:t>(26,479)</w:t>
            </w:r>
          </w:p>
        </w:tc>
        <w:tc>
          <w:tcPr>
            <w:tcW w:w="1400" w:type="dxa"/>
            <w:vAlign w:val="bottom"/>
            <w:shd w:val="clear" w:color="auto" w:fill="CFF0FC"/>
          </w:tcPr>
          <w:p>
            <w:pPr>
              <w:jc w:val="right"/>
              <w:ind w:right="350"/>
              <w:spacing w:after="0" w:line="200" w:lineRule="exact"/>
              <w:rPr>
                <w:sz w:val="20"/>
                <w:szCs w:val="20"/>
                <w:color w:val="auto"/>
              </w:rPr>
            </w:pPr>
            <w:r>
              <w:rPr>
                <w:rFonts w:ascii="Times New Roman" w:cs="Times New Roman" w:eastAsia="Times New Roman" w:hAnsi="Times New Roman"/>
                <w:sz w:val="18"/>
                <w:szCs w:val="18"/>
                <w:color w:val="auto"/>
              </w:rPr>
              <w:t>(780)</w:t>
            </w:r>
          </w:p>
        </w:tc>
        <w:tc>
          <w:tcPr>
            <w:tcW w:w="1300" w:type="dxa"/>
            <w:vAlign w:val="bottom"/>
            <w:shd w:val="clear" w:color="auto" w:fill="CFF0FC"/>
          </w:tcPr>
          <w:p>
            <w:pPr>
              <w:jc w:val="right"/>
              <w:ind w:right="370"/>
              <w:spacing w:after="0" w:line="200" w:lineRule="exact"/>
              <w:rPr>
                <w:sz w:val="20"/>
                <w:szCs w:val="20"/>
                <w:color w:val="auto"/>
              </w:rPr>
            </w:pPr>
            <w:r>
              <w:rPr>
                <w:rFonts w:ascii="Times New Roman" w:cs="Times New Roman" w:eastAsia="Times New Roman" w:hAnsi="Times New Roman"/>
                <w:sz w:val="18"/>
                <w:szCs w:val="18"/>
                <w:color w:val="auto"/>
              </w:rPr>
              <w:t>(780)</w:t>
            </w:r>
          </w:p>
        </w:tc>
        <w:tc>
          <w:tcPr>
            <w:tcW w:w="920" w:type="dxa"/>
            <w:vAlign w:val="bottom"/>
            <w:shd w:val="clear" w:color="auto" w:fill="CFF0FC"/>
          </w:tcPr>
          <w:p>
            <w:pPr>
              <w:jc w:val="right"/>
              <w:spacing w:after="0" w:line="200" w:lineRule="exact"/>
              <w:rPr>
                <w:sz w:val="20"/>
                <w:szCs w:val="20"/>
                <w:color w:val="auto"/>
              </w:rPr>
            </w:pPr>
            <w:r>
              <w:rPr>
                <w:rFonts w:ascii="Times New Roman" w:cs="Times New Roman" w:eastAsia="Times New Roman" w:hAnsi="Times New Roman"/>
                <w:sz w:val="18"/>
                <w:szCs w:val="18"/>
                <w:color w:val="auto"/>
              </w:rPr>
              <w:t>(113)</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5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724"/>
        </w:trPr>
        <w:tc>
          <w:tcPr>
            <w:tcW w:w="4120" w:type="dxa"/>
            <w:vAlign w:val="bottom"/>
          </w:tcPr>
          <w:p>
            <w:pPr>
              <w:spacing w:after="0"/>
              <w:rPr>
                <w:sz w:val="24"/>
                <w:szCs w:val="24"/>
                <w:color w:val="auto"/>
              </w:rPr>
            </w:pPr>
          </w:p>
        </w:tc>
        <w:tc>
          <w:tcPr>
            <w:tcW w:w="35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(Amounts in thousands, except share and per share and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1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72,688</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185,320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assets and business acquisitions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 (non-GAAP)</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111,900</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181,522</w:t>
            </w: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190,462</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27,611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42,800</w:t>
            </w:r>
          </w:p>
        </w:tc>
        <w:tc>
          <w:tcPr>
            <w:tcW w:w="2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130,335</w:t>
            </w: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135,094</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19,584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assets and business acquisitions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Tax effects of amortization of intangible assets resulting from assets and business</w:t>
            </w:r>
          </w:p>
        </w:tc>
        <w:tc>
          <w:tcPr>
            <w:tcW w:w="1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(3,972)</w:t>
            </w:r>
          </w:p>
        </w:tc>
        <w:tc>
          <w:tcPr>
            <w:tcW w:w="14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1"/>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40" w:type="dxa"/>
            <w:vAlign w:val="bottom"/>
            <w:gridSpan w:val="2"/>
            <w:vMerge w:val="continue"/>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78,040</w:t>
            </w:r>
          </w:p>
        </w:tc>
        <w:tc>
          <w:tcPr>
            <w:tcW w:w="200" w:type="dxa"/>
            <w:vAlign w:val="bottom"/>
            <w:tcBorders>
              <w:top w:val="single" w:sz="8" w:color="CFF0F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140,101</w:t>
            </w: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140,119</w:t>
            </w:r>
          </w:p>
        </w:tc>
        <w:tc>
          <w:tcPr>
            <w:tcW w:w="20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income per ordinary share (non-GAAP):</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used in calculating net income per</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Basic</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160,826,7</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160,826,79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161,373,633</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161,005,931</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161,376,0</w:t>
            </w:r>
          </w:p>
        </w:tc>
        <w:tc>
          <w:tcPr>
            <w:tcW w:w="20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161,376,06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162,568,603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162,019,666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61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-3350895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-3333750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-3350895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-3333750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-3350895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-3333750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-3350895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-2373630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-2373630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-2373630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-2373630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2026-05-19T05:20:24Z</dcterms:created>
  <dcterms:modified xsi:type="dcterms:W3CDTF">2026-05-19T05:20:24Z</dcterms:modified>
</cp:coreProperties>
</file>